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
<Relationships xmlns="http://schemas.openxmlformats.org/package/2006/relationships">
  
  
  <Relationship Id="rId1" Type="http://schemas.openxmlformats.org/officeDocument/2006/relationships/officeDocument" Target="word/document.xml"/>
  
  
  <Relationship Id="rId2" Type="http://schemas.openxmlformats.org/package/2006/relationships/metadata/core-properties" Target="docProps/core.xml"/>
  
  
  <Relationship Id="rId3" Type="http://schemas.openxmlformats.org/officeDocument/2006/relationships/extended-properties" Target="docProps/app.xml"/>
  
  
  <Relationship Id="rId4" Type="http://schemas.openxmlformats.org/officeDocument/2006/relationships/custom-properties" Target="docProps/custom.xml"/>
  
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sz w:val="72"/>
          <w:szCs w:val="72"/>
        </w:rPr>
        <w:t xml:space="preserve">🎨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2E1A"/>
          <w:sz w:val="56"/>
          <w:szCs w:val="56"/>
        </w:rPr>
        <w:t xml:space="preserve">Herbal Remedy Advisor</w:t>
      </w:r>
    </w:p>
    <w:p>
      <w:pPr>
        <w:spacing w:after="80"/>
      </w:pPr>
      <w:r>
        <w:rPr>
          <w:rFonts w:ascii="Arial" w:cs="Arial" w:eastAsia="Arial" w:hAnsi="Arial"/>
          <w:color w:val="5C7A4E"/>
          <w:sz w:val="32"/>
          <w:szCs w:val="32"/>
        </w:rPr>
        <w:t xml:space="preserve">Design Guide &amp; Component Reference</w:t>
      </w:r>
    </w:p>
    <w:p>
      <w:pPr>
        <w:spacing w:after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1.0  ·  Frozen  ·  May 2026</w:t>
      </w:r>
    </w:p>
    <w:p>
      <w:pPr>
        <w:pBdr>
          <w:bottom w:val="single" w:color="D0C8C0" w:sz="4" w:space="1"/>
        </w:pBdr>
        <w:spacing w:after="160"/>
      </w:pP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1. Design Philosophy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Herbal Remedy Advisor has a clear, intentional aesthetic identity: warm, earthy, multicultural, and authoritative. It should feel like a beautiful herbal compendium — not a clinical app.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Key Design Principles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Warmth over sterility — cream backgrounds, earthy greens, and gold accents over white, blue, or grey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Culture as identity — each healing tradition has a unique color that runs consistently through every component that references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Typography with character — Noto Serif for display creates gravitas; Noto Sans for body creates legibility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Generous spacing — cards breathe; nothing feels cramped; information is layered, not compressed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Purposeful animation — one well-timed bounce or fade beats scattered micro-interactions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Inspirations (not copies)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Flo Health — the calendar UX: color-coded day states, day-detail slide-in card, monthly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MyFitnessPal — the progress bar: fill gradient, end-label, percentage display, daily stats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Our own identity — earthy palette, cultural color coding, serif typography, knowledge-first content framing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2. Global Shell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2.1 Phone Shell (Prototype Reference)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 the prototype: 375pt wide, min 812pt tall, 44pt corner radius, cream background, 40pt drop shadow.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 native iOS: full screen, safe area insets respected, status bar uses forest green background.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2.2 Status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Background: forest (#1A2E1A)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Text color: mist (#C8DDB8)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Time left, signal/wifi right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iOS UIStatusBarStyle: .lightContent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2.3 App Header (Dynamic)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header changes label and title per active screen. It is a persistent element across all screens.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 Content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Symptom Selection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Traditional Medicine (icon: leaf.fill SF Symbol) / Herbal Remedy Advisor / Eastern &amp; Traditional Medicine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Results (icon: leaf.fill SF Symbol) / Your Remedies / Based on your symptoms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Filter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Cultures (icon: globe.americas.fill SF Symbol) / Healing Traditions / Explore global wisdom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Protocol Journal (icon: book.closed.fill SF Symbol) / Remedy Calendar / Track your daily practice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Remedy Detail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← Remedy Detail / Full Protocol / Preparation &amp; cultural insight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Background: linear gradient 160° — forest (#1A2E1A) → moss (#2D4A2D)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Decorative radial glow: top-right, rgba(138,171,110,0.2), 160pt diameter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Label: 10pt, Noto Sans SemiBold, UPPERCASE, 0.2em letter-spacing, fern color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Title: 20–21pt, Noto Serif, cream color, line-height 1.2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Subtitle: 11pt, Noto Sans, mist color, 70% opacity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Padding: 16–18pt top, 24pt horizontal, 20–22pt bottom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2.4 Bottom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Background: forest (#1A2E1A)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Padding: 10pt top, 16pt bottom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Active tab: full opacity (1.0)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Inactive tabs: 70% opacity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Icon: 19pt SF Symbol icon (systemImage)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Label: 9pt, Noto Sans, mist, UPPERCASE, 0.08em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Notification pip: 5pt circle, gold, top-right of icon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Tab order: waveform.path.ecg Symptoms / leaf.fill Remedies / globe.americas.fill Traditions / book.closed.fill Journal / leaf.circle.fill About. The About tab is wrapped in a NavigationStack to support push navigation to OurStoryView (and future sub-screens) without a modal sheet.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3. Component Specifications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3.1 Symptom Chip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Unselected: white background, mist border (1.5pt), icon centered at 22pt, label 11pt Noto Sans SemiBold, subtext color.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Selected: forest background, forest border, same icon, label in mist color.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Border radius: 14pt. Padding: 12pt vertical, 10pt horizontal. Transition: 0.2s ease.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3.2 Remedy Card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White background card, 20pt radius, shadow (opacity 0.07, blur 16, y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Header: tradition color gradient (color → color at 75% opacity). 14–16pt Noto Serif title (white). 10pt origin label (white, 80% opacity). 26pt icon. 14–16pt horizontal padding.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Body: 12pt padding. Ingredient chips (mist background, forest text, 10pt font, 20pt radius). 11pt description text. Action row at bottom.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Action row: "View Protocol →" button (forest fill) + "📓 Start" button (gold fill). 10pt radius, 9pt font, 9pt padding.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3.3 Tradition Card (Filter Screen)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Border radius: 16pt. Shadow: 0.1 opacity, blur 12. Selected: gold ring (3pt border).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Banner: tradition color gradient. Flag at 26pt. Name at 14pt Noto Serif SemiBold (white). Region at 10pt (white, 75% opacity). Checkmark circle (white, 22pt) top-right — hidden until selected.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Body: white background. Description at 11pt subtext. Tags at 9pt SemiBold UPPERCASE in tradition color with 15% opacity fill. 9–11pt padding.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3.4 Calendar Cell States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Visual Detail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color fill (85% opacity), white day number, small white SF Symbol checkmark (systemImage: checkmark) in an 18pt circle (6pt radius)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todayActive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Gold fill (90% opacity), white day number, 2pt gold outer ring (box-shadow), small gold filled dot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upcoming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color at 12% opacity background, subtext-colored number, small dot with protocol day number at 8pt in tradition color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nonProtocol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fill, subtext-colored number, no dot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empty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Transparent, no content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Cell size: 32×32pt circle dot (within 36pt touch target). Day number: 9–11pt Noto Sans SemiBold. Gap between cells: 3pt.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3.5 Progress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Track height: 8pt, mist fill, 10pt radius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Fill: linear gradient 90° — fern (#8AAB6E) → gold (#C8A050), 10pt radius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Fill animates on appear: 1.0–1.2s ease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Top row: truncated protocol name (Noto Serif 13pt forest) + percentage label (12pt SemiBold gold)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Bottom labels: "Day 1" left, "Day N" right (9pt subtext)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Container: white card, 16pt radius, 12–16pt padding, shadow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3.6 Summary Stats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Three equal cells in a white card, 16pt radius, shadow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Each cell: large value in Noto Serif 19–22pt forest, label in 9pt UPPERCASE subtext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Thin dividers between cells (mist color, 40% opacity)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Content: Days Done / Days Left / % Complete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3.7 Day Detail Card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White card, 16pt radius. Revealed by tapping a protocol day in the calendar.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Header row: 26pt remedy icon, date + day number label (10pt UPPERCASE subtext), remedy name (14pt Noto Serif forest), tradition badge pill, status badge right-aligned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Status badge colors: Done (systemImage: checkmark.circle.fill, green) = light green bg / forest text; Today (systemImage: star.fill, gold) = light gold bg / copper text; Upcoming (systemImage: lock.fill, grey) = light grey bg / grey 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Quote section (visible for done/today only): "Day Wisdom" label (9pt UPPERCASE sage), quote text (11pt Noto Serif italic forest), attribution (9pt gold SemiBold)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Divider between header and quote: 1pt mist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3.8 Today Task Card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White card, 16pt radius, shadow. Header: tradition color gradient, "Today's Protocol" title (13pt Noto Serif white), day label right (10pt white 80%)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Step rows: numbered circle (22pt, tradition color at 85% opacity, white number 11pt bold), 11pt Noto Sans step text in subtext color, 3pt line spacing. Dividers between steps at mist 60% opacity. Read-only — no interactive checkboxes. Steps display historical/cultural preparation narrative text only.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3.9 Quote Card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Subtle gradient fill: forest green at 6% + sage at 4% opacity. Mist border (1pt), 16pt radius.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Header: 9pt UPPERCASE tradition label with flagImageName asset image (tradition’s flag from Assets.xcassets) and "Day N Wisdom · [Tradition]" 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Large decorative open-quote: 28–32pt, Noto Serif, mist color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Quote text: 13pt Noto Serif italic, forest color, 1.65 line-height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Attribution: 10pt Noto Sans SemiBold, gold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Context note: 10pt Noto Sans, subtext, 1.5 line-height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3.10 Achievement Badges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White card, 10pt radius. SF Symbol icon at 18pt (each achievement uses a named systemImage). Name at 10pt Noto Sans SemiBold subtext.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Locked: grayscale filter + 25% opacity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Unlocked: full color, subtle shadow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Animate unlock: scale 0→1 with spring, fade in (0.4s)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4. Overlay Specifications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4.1 Day Complete Overlay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Full screen dim: rgba(26,46,26,0.92) — dark forest green, not pure black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Content centered vertically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Icon: checkmark.circle.fill SF Symbol in a 64pt forest-colored circle, bounce-in animation (scale 0→1.18→1.0 in 0.45s)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"Day N Complete!" title: 24pt Noto Serif cream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Sub text: 13pt mist, 1.7 line-height, 30pt side padding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Streak pill: gold fill, white text, 15pt SemiBold, 20pt radius, 6pt 20pt padding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Quote preview box: rgba(white, 0.08) fill, 12pt radius. Quote in 12pt Noto Serif italic mist. Attribution in 10pt fern.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Reminder line: 11pt fern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"Continue Journey →" button: fern fill, white text, 14pt Noto Serif, 16pt radius, 13pt 30pt padding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4.2 Protocol Complete Overlay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Full screen: linear gradient 160° — rgba(12,22,12,0.97) → rgba(26,46,26,0.97)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Scrollable if content overflows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Decorative row: sparkles + recipe SF Symbol at 20pt, bounce-in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Trophy badge: 88×88pt circle, linear gradient gold → copper, trophy.fill SF Symbol at 40pt in white, 6pt gold outer ring, 32pt drop shadow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"Protocol Complete!" title: 26pt Noto Serif cream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Tradition label: 11pt fern, UPPERCASE, 0.1em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Congratulatory text: 14pt Noto Serif mist, centered, 28pt padding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Stats row: three cells — DAYS DONE / DAYS LEFT / COMPLETIONS (lifetime count) — with gold Noto Serif 20pt values, mist 9pt UPPERCASE labels, rgba(white,0.07) fills, 12pt radius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Divider: 1px rgba(mist, 0.15)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"A Final Word of Wisdom" label: 9pt UPPERCASE fern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Closing quote: 13pt Noto Serif italic mist, centered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Attribution: 10pt gold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Primary CTA: sage→forest gradient, 14pt Noto Serif white, 16pt radius, full width minus 48pt, 14pt padding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Secondary CTA: transparent, 1.5pt mist-30% border, 13pt Noto Serif mist, same sizing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4.3 Feeling Check-In Chips</w:t>
      </w: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Appears in JournalScreen after the user taps “Mark Day Complete.” Three equal-width chips appear in an HStack: “Feeling better” (arrow.up.heart.fill), “About the same” (heart.fill), and “Noticed something” (sparkles). Tapping any chip calls completeDay(feeling:) and dismisses the picker with an opacity + move(edge: .bottom) transition.</w:t>
      </w:r>
    </w:p>
    <w:p>
      <w:p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Chip style: forest.opacity(0.07) fill, forest.opacity(0.2) stroke border (1pt), 12pt corner radius, 12pt vertical / 6pt horizontal padding. Icon: 16pt SF Symbol. Label: Noto Sans 10pt SemiBold, multiline allowed, 2-line limit. Container card: white, 16pt radius, forest.opacity(0.08) shadow. Appears with .transition(.opacity.combined(with: .move(edge: .bottom))).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4.4 General Reference Disclaimer Footer</w:t>
      </w: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Displayed at the bottom of every RemedyDetailScreen, below the citations section. Styled to read as quiet archival context — not a prominent legal notice — so it doesn’t interrupt the reading experience.</w:t>
      </w:r>
    </w:p>
    <w:p>
      <w:p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Container: Color.mist.opacity(0.08) background, 8pt corner radius. Eyebrow: “GENERAL REFERENCE” in Noto Sans 9pt SemiBold, subtext.opacity(0.5), with an info.circle SF Symbol at 9pt. Body: Noto Sans 10pt Regular, subtext.opacity(0.45), 3pt line spacing. Text: “The sources and preparation methods documented here are provided for educational and cultural archival purposes only. They do not constitute medical advice, diagnosis, or treatment. Always consult a qualified healthcare provider before beginning any herbal protocol or regimen.” Padding: 12pt all sides.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4.5 OurStoryView Navigation Pattern</w:t>
      </w: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About tab (tab 5) wraps SettingsScreen in a NavigationStack. “Our Story” is accessed via a NavigationLink push — not a sheet — so users navigate back with the standard iOS back button. This establishes the pattern for all future Settings sub-screens.</w:t>
      </w:r>
    </w:p>
    <w:p>
      <w:p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OurStoryView navigation bar: .toolbarBackground(Color.forest, for: .navigationBar) + .toolbarColorScheme(.dark, for: .navigationBar). Title: “Our Story” inline. Hero: drop.fill SF Symbol with translucent mist gradient foreground (35% → 12% opacity top-to-bottom). Body: 5 paragraphs in Noto Sans 15pt, mist.opacity(0.88), 7pt line spacing. Footer: “— Built with care by Aerwin” in Noto Sans 12pt, mist.opacity(0.4). Background: Color.forest.ignoresSafeArea().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4.6 Lexicon Policy — Approved Vocabulary</w:t>
      </w: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words “cleanse” and “detox” are permanently retired from all visible UI strings, marketing copy, and in-app text. The approved vocabulary aligns with an authoritative, systems-based, education-first positioning.</w:t>
      </w:r>
    </w:p>
    <w:p>
      <w:pPr>
        <w:spacing w:after="60"/>
      </w:pPr>
      <w:r>
        <w:rPr>
          <w:rFonts w:ascii="Arial" w:cs="Arial" w:eastAsia="Arial" w:hAnsi="Arial"/>
          <w:b/>
          <w:color w:val="1A2E1A"/>
          <w:sz w:val="20"/>
          <w:szCs w:val="20"/>
        </w:rPr>
        <w:t xml:space="preserve">Retired (never use):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cleanse / cleansing — replaced by “protocol” or “practice”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detox — replaced by “restore” or “regimen”</w:t>
      </w:r>
    </w:p>
    <w:p>
      <w:pPr>
        <w:spacing w:after="60"/>
      </w:pPr>
      <w:r>
        <w:rPr>
          <w:rFonts w:ascii="Arial" w:cs="Arial" w:eastAsia="Arial" w:hAnsi="Arial"/>
          <w:b/>
          <w:color w:val="1A2E1A"/>
          <w:sz w:val="20"/>
          <w:szCs w:val="20"/>
        </w:rPr>
        <w:t xml:space="preserve">Approved vocabulary: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protocol — the daily practice for a given remedy duration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regimen — broader course of practice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cycle — duration of a complete protocol run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practice — the user’s ongoing engagement with a remedy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restore / restorative — approved replacement for detox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5. Do’s and Don’ts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Use the exact hex values defined in the color palette — no approximations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Use Noto Serif for all headings, card titles, CTA buttons, and quotes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Maintain the tradition color system — every component referencing a tradition uses that tradition's color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Keep the disclaimer visible and legible on all remedy screens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Ensure all tap targets are at least 44×44pt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Let the calendar be the hero of the journal screen — it should be the first thing the user sees after the hero strip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Don't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use Inter, Roboto, SF Pro, or any system font for display text — Noto Serif and Noto Sans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use purple gradients on white backgrounds — that is generic AI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add XP, points, coins, or gamification currency — achievement badges and streak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use pure black (#000000) as a background — always dark forest green for overlays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compress the calendar — it needs full breathing room with 3pt gaps and 16pt side margins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reorder the journal screen sections — the sequence is intentional and frozen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color w:val="1A2E1A"/>
        </w:rPr>
        <w:t xml:space="preserve">6. Phase 3 Component Specifications</w:t>
      </w:r>
    </w:p>
    <w:p>
      <w:pPr>
        <w:spacing w:after="60"/>
      </w:pPr>
      <w:r>
        <w:rPr>
          <w:rFonts w:ascii="Arial" w:cs="Arial" w:eastAsia="Arial" w:hAnsi="Arial"/>
          <w:b/>
          <w:sz w:val="20"/>
          <w:szCs w:val="20"/>
        </w:rPr>
        <w:t xml:space="preserve">6.1 Shimmer Skeleton (ProtocolDetailView Loading State)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Displayed during .loading state of FetchState while Firestore data is in-flight. Placeholder bars use a cream-to-sage gradient animated with a shimmer sweep (opacity 0.4 → 0.15 → 0.4, 1.2s repeat). Bar dimensions approximate the content they replace: hero image area (full width, 220pt tall), two short chip bars (80pt wide, 24pt tall), three text lines (full width, varying heights), a step list block, and a CTA button bar. Corner radius: 8pt on all bars. No text rendered during skeleton state. Transition from skeleton to content: .opacity combined with .move(edge: .bottom), 0.3s ease-out.</w:t>
      </w:r>
    </w:p>
    <w:p>
      <w:pPr>
        <w:spacing w:after="60"/>
      </w:pPr>
      <w:r>
        <w:rPr>
          <w:rFonts w:ascii="Arial" w:cs="Arial" w:eastAsia="Arial" w:hAnsi="Arial"/>
          <w:b/>
          <w:sz w:val="20"/>
          <w:szCs w:val="20"/>
        </w:rPr>
        <w:t xml:space="preserve">6.2 ProtocolDetailView — Remote Content Layout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Displayed on .success(proto) state. Hero: AsyncImage with shimmer placeholder while loading, Color.clear on nil URL. systemPriority badge: capsule pill, forest fill, Noto Sans 11pt SemiBold, mist text, 6pt vertical / 12pt horizontal padding — positioned top-left over the hero image. historicalContext: Noto Serif 15pt, subtext color, 6pt line spacing, 24pt horizontal padding. Ingredient section: each ingredient as a disclosure group (IngredientDetail — name/what/why/whereToBuy/safety). Citations section: Noto Sans 11pt, subtext.opacity(0.6), listed with link treatment where URL is present. cycleLengthDays CTA: gold fill button, Noto Serif 16pt SemiBold, “Begin [N]-Day Protocol” label. Protocol lock gate (.protocolLockGate()) applied at ZStack level — gate does not activate during .loading to prevent flash.</w:t>
      </w:r>
    </w:p>
    <w:p>
      <w:pPr>
        <w:spacing w:after="60"/>
      </w:pPr>
      <w:r>
        <w:rPr>
          <w:rFonts w:ascii="Arial" w:cs="Arial" w:eastAsia="Arial" w:hAnsi="Arial"/>
          <w:b/>
          <w:sz w:val="20"/>
          <w:szCs w:val="20"/>
        </w:rPr>
        <w:t xml:space="preserve">6.3 “Archive Unavailable” Error Banner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Displayed on .failure state, floating above the local fallback content. Container: Color.copper.opacity(0.12) background, 12pt corner radius, 16pt horizontal / 10pt vertical padding, positioned at bottom of ZStack with .safeAreaInset. Icon: wifi.slash SF Symbol, 14pt, copper color. Label: Noto Sans 13pt, copper, “Archive Unavailable — showing local content”. Appears with .transition(.opacity.combined(with: .move(edge: .bottom))). Local fallback content below the banner renders the Remedy data from the local RemedyDatabase catalog so the screen is never empty.</w:t>
      </w:r>
    </w:p>
    <w:p>
      <w:pPr>
        <w:spacing w:after="60"/>
      </w:pPr>
      <w:r>
        <w:rPr>
          <w:rFonts w:ascii="Arial" w:cs="Arial" w:eastAsia="Arial" w:hAnsi="Arial"/>
          <w:b/>
          <w:sz w:val="20"/>
          <w:szCs w:val="20"/>
        </w:rPr>
        <w:t xml:space="preserve">6.4 Dynamic systemPriority Filter Chips (ResultsScreen)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Filter chips on ResultsScreen are built from availablePriorityChips: [String] sourced live from Firestore systemPriority strings — not from a hardcoded enum. Chip style: same as existing tradition filter chips (mist border, forest text when inactive; forest fill, mist text when active). Active state toggled with withAnimation(.easeInOut(duration: 0.2)). Current systemPriority tags in production: digestive, energy, skin, joint, neuro, mood, immune, sleep.</w:t>
      </w:r>
    </w:p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AAAAAA"/>
        <w:sz w:val="16"/>
        <w:szCs w:val="16"/>
      </w:rPr>
      <w:t xml:space="preserve">Herbal Remedy Advisor — Design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2E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5C7A4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2E1A"/>
      <w:sz w:val="22"/>
      <w:szCs w:val="22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
  
  <Relationship Id="rId1" Type="http://schemas.openxmlformats.org/officeDocument/2006/relationships/styles" Target="styles.xml"/>
  
  
  <Relationship Id="rId2" Type="http://schemas.openxmlformats.org/officeDocument/2006/relationships/numbering" Target="numbering.xml"/>
  
  
  <Relationship Id="rId3" Type="http://schemas.openxmlformats.org/officeDocument/2006/relationships/footnotes" Target="footnotes.xml"/>
  
  
  <Relationship Id="rId4" Type="http://schemas.openxmlformats.org/officeDocument/2006/relationships/endnotes" Target="endnotes.xml"/>
  
  
  <Relationship Id="rId5" Type="http://schemas.openxmlformats.org/officeDocument/2006/relationships/settings" Target="settings.xml"/>
  
  
  <Relationship Id="rId6" Type="http://schemas.openxmlformats.org/officeDocument/2006/relationships/comments" Target="comments.xml"/>
  
  
  <Relationship Id="rId7" Type="http://schemas.openxmlformats.org/officeDocument/2006/relationships/header" Target="header1.xml"/>
  
  
  <Relationship Id="rId8" Type="http://schemas.openxmlformats.org/officeDocument/2006/relationships/fontTable" Target="fontTable.xml"/>
  

</Relationships>

</file>

<file path=word/_rels/endnotes.xml.rels><?xml version="1.0" encoding="utf-8"?>
<Relationships xmlns="http://schemas.openxmlformats.org/package/2006/relationships"/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word/_rels/header1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2026-05-15T00:47:17.359Z</dcterms:created>
  <dcterms:modified xsi:type="dcterms:W3CDTF">2026-05-15T00:47:17.359Z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