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CCE1" w14:textId="77777777" w:rsidR="00B7164F" w:rsidRDefault="00000000">
      <w:r>
        <w:rPr>
          <w:sz w:val="24"/>
          <w:szCs w:val="24"/>
        </w:rPr>
        <w:t xml:space="preserve"> </w:t>
      </w:r>
    </w:p>
    <w:p w14:paraId="4870D357" w14:textId="77777777" w:rsidR="00B7164F" w:rsidRDefault="00000000">
      <w:pPr>
        <w:spacing w:after="100" w:line="276" w:lineRule="auto"/>
        <w:jc w:val="center"/>
      </w:pPr>
      <w:r>
        <w:rPr>
          <w:rFonts w:ascii="Georgia" w:eastAsia="Georgia" w:hAnsi="Georgia" w:cs="Georgia"/>
          <w:color w:val="5C7A4E"/>
          <w:sz w:val="52"/>
          <w:szCs w:val="52"/>
        </w:rPr>
        <w:t>🌿</w:t>
      </w:r>
    </w:p>
    <w:p w14:paraId="2B689755" w14:textId="77777777" w:rsidR="00B7164F" w:rsidRDefault="00000000">
      <w:pPr>
        <w:spacing w:after="60" w:line="276" w:lineRule="auto"/>
        <w:jc w:val="center"/>
      </w:pPr>
      <w:r>
        <w:rPr>
          <w:rFonts w:ascii="Georgia" w:eastAsia="Georgia" w:hAnsi="Georgia" w:cs="Georgia"/>
          <w:b/>
          <w:bCs/>
          <w:color w:val="1A2E1A"/>
          <w:sz w:val="56"/>
          <w:szCs w:val="56"/>
        </w:rPr>
        <w:t>Nise</w:t>
      </w:r>
    </w:p>
    <w:p w14:paraId="668272D7" w14:textId="77777777" w:rsidR="00B7164F" w:rsidRDefault="00000000">
      <w:pPr>
        <w:spacing w:after="40" w:line="276" w:lineRule="auto"/>
        <w:jc w:val="center"/>
      </w:pPr>
      <w:r>
        <w:rPr>
          <w:rFonts w:ascii="Georgia" w:eastAsia="Georgia" w:hAnsi="Georgia" w:cs="Georgia"/>
          <w:color w:val="5C7A4E"/>
          <w:sz w:val="24"/>
          <w:szCs w:val="24"/>
        </w:rPr>
        <w:t>v1.0 Strategic Business Brief &amp; Operational Roadmap</w:t>
      </w:r>
    </w:p>
    <w:p w14:paraId="357C8F94" w14:textId="77777777" w:rsidR="00B7164F" w:rsidRDefault="00000000">
      <w:pPr>
        <w:spacing w:after="20" w:line="276" w:lineRule="auto"/>
        <w:jc w:val="center"/>
      </w:pPr>
      <w:r>
        <w:rPr>
          <w:b/>
          <w:bCs/>
          <w:caps/>
          <w:color w:val="8B2020"/>
          <w:sz w:val="16"/>
          <w:szCs w:val="16"/>
        </w:rPr>
        <w:t>CLASSIFICATION: CONFIDENTIAL – INTERNAL STRATEGY DOCUMENT</w:t>
      </w:r>
    </w:p>
    <w:p w14:paraId="069CE2B5" w14:textId="77777777" w:rsidR="00B7164F" w:rsidRDefault="00000000">
      <w:pPr>
        <w:spacing w:after="120" w:line="276" w:lineRule="auto"/>
        <w:jc w:val="center"/>
      </w:pPr>
      <w:r>
        <w:rPr>
          <w:color w:val="C8DDB8"/>
          <w:sz w:val="17"/>
          <w:szCs w:val="17"/>
        </w:rPr>
        <w:t>Date: May 2026  ·  Author: Product Management &amp; Engineering</w:t>
      </w:r>
    </w:p>
    <w:p w14:paraId="4BB1E73C" w14:textId="77777777" w:rsidR="00B7164F" w:rsidRDefault="00B7164F">
      <w:pPr>
        <w:pBdr>
          <w:bottom w:val="single" w:sz="2" w:space="1" w:color="C8DDB8"/>
        </w:pBdr>
        <w:spacing w:before="120" w:after="120"/>
      </w:pPr>
    </w:p>
    <w:p w14:paraId="0300CC75" w14:textId="77777777" w:rsidR="00B7164F" w:rsidRDefault="00000000">
      <w:r>
        <w:rPr>
          <w:sz w:val="14"/>
          <w:szCs w:val="14"/>
        </w:rPr>
        <w:t xml:space="preserve"> </w:t>
      </w:r>
    </w:p>
    <w:p w14:paraId="50B047F2" w14:textId="77777777" w:rsidR="00B7164F" w:rsidRDefault="00000000">
      <w:pPr>
        <w:pStyle w:val="Heading1"/>
        <w:pBdr>
          <w:bottom w:val="single" w:sz="4" w:space="6" w:color="C8DDB8"/>
        </w:pBdr>
      </w:pPr>
      <w:r>
        <w:t>Executive Summary</w:t>
      </w:r>
    </w:p>
    <w:p w14:paraId="15C4E589" w14:textId="77777777" w:rsidR="00B7164F" w:rsidRDefault="00000000">
      <w:pPr>
        <w:spacing w:after="160" w:line="276" w:lineRule="auto"/>
      </w:pPr>
      <w:r>
        <w:t xml:space="preserve">Nise is an ecosystem built to bridge the gap between historical ethnobotanical practices and modern wellness routines. While the long-term enterprise value of the company is rooted in the distribution of high-margin, premium physical protocol kits, the immediate go-to-market strategy bypasses traditional physical supply-chain friction, high-churn patterns, and regulatory barriers by launching as a </w:t>
      </w:r>
      <w:r>
        <w:rPr>
          <w:b/>
          <w:bCs/>
          <w:color w:val="1A2E1A"/>
        </w:rPr>
        <w:t>software-first digital archive</w:t>
      </w:r>
      <w:r>
        <w:t>.</w:t>
      </w:r>
    </w:p>
    <w:p w14:paraId="3DA68259" w14:textId="77777777" w:rsidR="00B7164F" w:rsidRDefault="00000000">
      <w:pPr>
        <w:spacing w:after="200" w:line="276" w:lineRule="auto"/>
      </w:pPr>
      <w:r>
        <w:t>This document defines the multi-phase deployment roadmap designed to de-risk development, isolate corporate W2 liability, and leverage zero-marginal-cost software to systematically validate market demand before physical asset manufacturing.</w:t>
      </w:r>
    </w:p>
    <w:p w14:paraId="37E37869" w14:textId="77777777" w:rsidR="00B7164F" w:rsidRDefault="00000000">
      <w:pPr>
        <w:pStyle w:val="Heading1"/>
        <w:pBdr>
          <w:bottom w:val="single" w:sz="4" w:space="6" w:color="C8DDB8"/>
        </w:pBdr>
      </w:pPr>
      <w:r>
        <w:t>1. The Core Problem &amp; Industry Failure Mechanics</w:t>
      </w:r>
    </w:p>
    <w:p w14:paraId="2C8F1316" w14:textId="77777777" w:rsidR="00B7164F" w:rsidRDefault="00000000">
      <w:pPr>
        <w:spacing w:after="120" w:line="276" w:lineRule="auto"/>
      </w:pPr>
      <w:r>
        <w:t xml:space="preserve">The consumer health application market is characterized by a brutal metric: an </w:t>
      </w:r>
      <w:r>
        <w:rPr>
          <w:b/>
          <w:bCs/>
          <w:color w:val="8B2020"/>
        </w:rPr>
        <w:t>80% to 90% abandonment rate</w:t>
      </w:r>
      <w:r>
        <w:t xml:space="preserve"> within the first 3 to 7 days of download. Software in this sector routinely fails due to three systemic engineering and psychological flaws:</w:t>
      </w:r>
    </w:p>
    <w:p w14:paraId="07DBFCA7" w14:textId="77777777" w:rsidR="00B7164F" w:rsidRDefault="00000000">
      <w:pPr>
        <w:pStyle w:val="ListParagraph"/>
        <w:numPr>
          <w:ilvl w:val="0"/>
          <w:numId w:val="2"/>
        </w:numPr>
        <w:spacing w:before="60" w:after="80"/>
      </w:pPr>
      <w:r>
        <w:rPr>
          <w:b/>
          <w:bCs/>
          <w:color w:val="1A2E1A"/>
        </w:rPr>
        <w:t xml:space="preserve">The Optimization Burden (Data Fatigue): </w:t>
      </w:r>
      <w:r>
        <w:t>Forcing users to manually input complex, quantitative metrics (biometrics, exact caloric values, microscopic symptom details) introduces immense cognitive friction, leading to rapid user burnout.</w:t>
      </w:r>
    </w:p>
    <w:p w14:paraId="1D7834FD" w14:textId="77777777" w:rsidR="00B7164F" w:rsidRDefault="00000000">
      <w:pPr>
        <w:pStyle w:val="ListParagraph"/>
        <w:numPr>
          <w:ilvl w:val="0"/>
          <w:numId w:val="2"/>
        </w:numPr>
        <w:spacing w:before="60" w:after="80"/>
      </w:pPr>
      <w:r>
        <w:rPr>
          <w:b/>
          <w:bCs/>
          <w:color w:val="1A2E1A"/>
        </w:rPr>
        <w:t xml:space="preserve">The "Wellness Guilt" Loop: </w:t>
      </w:r>
      <w:r>
        <w:t>Aggressive push notifications and strict "streak-breaking" mechanics punish users for real-world scheduling anomalies. When a day is missed, a wave of subconscious guilt prompts the user to delete the application to remove the negative reinforcement.</w:t>
      </w:r>
    </w:p>
    <w:p w14:paraId="279588BB" w14:textId="77777777" w:rsidR="00B7164F" w:rsidRDefault="00000000">
      <w:pPr>
        <w:pStyle w:val="ListParagraph"/>
        <w:numPr>
          <w:ilvl w:val="0"/>
          <w:numId w:val="2"/>
        </w:numPr>
        <w:spacing w:before="60" w:after="80"/>
      </w:pPr>
      <w:r>
        <w:rPr>
          <w:b/>
          <w:bCs/>
          <w:color w:val="1A2E1A"/>
        </w:rPr>
        <w:t xml:space="preserve">The Miracle Myth Stigma: </w:t>
      </w:r>
      <w:r>
        <w:t>Aggressive, low-trust marketing terminology (e.g., "detoxes," "cleanses," "system flushes") creates heavy clinical and consumer skepticism. When immediate, unrealistic physical transformations fail to materialize within 96 hours, users abandon the platform.</w:t>
      </w:r>
    </w:p>
    <w:p w14:paraId="2EAB37F7" w14:textId="77777777" w:rsidR="00B7164F" w:rsidRDefault="00000000">
      <w:r>
        <w:rPr>
          <w:sz w:val="14"/>
          <w:szCs w:val="14"/>
        </w:rPr>
        <w:t xml:space="preserve"> </w:t>
      </w:r>
    </w:p>
    <w:p w14:paraId="798EC3E3" w14:textId="77777777" w:rsidR="00B7164F" w:rsidRDefault="00000000">
      <w:pPr>
        <w:pStyle w:val="Heading2"/>
      </w:pPr>
      <w:r>
        <w:t>The Nise Structural Response</w:t>
      </w:r>
    </w:p>
    <w:p w14:paraId="74FDCE67" w14:textId="77777777" w:rsidR="00B7164F" w:rsidRDefault="00000000">
      <w:pPr>
        <w:spacing w:after="200" w:line="276" w:lineRule="auto"/>
      </w:pPr>
      <w:r>
        <w:t xml:space="preserve">Nise actively immunizes its architecture against these failure points by substituting quantitative tracking with a minimalist, low-friction </w:t>
      </w:r>
      <w:r>
        <w:rPr>
          <w:b/>
          <w:bCs/>
          <w:color w:val="1A2E1A"/>
        </w:rPr>
        <w:t>Micro-Log Pattern</w:t>
      </w:r>
      <w:r>
        <w:t xml:space="preserve"> (one-tap contextual state chips) and shifting vocabulary </w:t>
        <w:lastRenderedPageBreak/>
        <w:t>entirely away from trendy buzzwords toward high-trust, systems-based terms (</w:t>
      </w:r>
      <w:r>
        <w:rPr>
          <w:i/>
          <w:iCs/>
          <w:color w:val="5C7A4E"/>
        </w:rPr>
        <w:t>Protocol Journal, Traditional Medicine, Inflammatory Modulation</w:t>
      </w:r>
      <w:r>
        <w:t>).</w:t>
      </w:r>
    </w:p>
    <w:p w14:paraId="47E437AF" w14:textId="77777777" w:rsidR="00B7164F" w:rsidRDefault="00000000">
      <w:pPr>
        <w:pStyle w:val="Heading1"/>
        <w:pBdr>
          <w:bottom w:val="single" w:sz="4" w:space="6" w:color="C8DDB8"/>
        </w:pBdr>
      </w:pPr>
      <w:r>
        <w:t>2. The Phased Business &amp; Monetization Roadmap</w:t>
      </w:r>
    </w:p>
    <w:p w14:paraId="19390E91" w14:textId="77777777" w:rsidR="00B7164F" w:rsidRDefault="00000000">
      <w:pPr>
        <w:spacing w:after="160" w:line="276" w:lineRule="auto"/>
      </w:pPr>
      <w:r>
        <w:t xml:space="preserve">To build a direct path to physical kit manufacturing without absorbing catastrophic upfront inventory costs or regulatory liabilities while maintaining full-time corporate employment, Nise executes a </w:t>
      </w:r>
      <w:r>
        <w:rPr>
          <w:b/>
          <w:bCs/>
          <w:color w:val="1A2E1A"/>
        </w:rPr>
        <w:t>Four-Phase Strategic Rollout Plan</w:t>
      </w:r>
      <w:r>
        <w:t>.</w:t>
      </w: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160"/>
      </w:tblGrid>
      <w:tr w:rsidR="00B7164F" w14:paraId="2F4EE763"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2E5C2E"/>
            <w:tcMar>
              <w:top w:w="120" w:type="dxa"/>
              <w:left w:w="140" w:type="dxa"/>
              <w:bottom w:w="120" w:type="dxa"/>
              <w:right w:w="140" w:type="dxa"/>
            </w:tcMar>
          </w:tcPr>
          <w:p w14:paraId="3CF089EC" w14:textId="77777777" w:rsidR="00B7164F" w:rsidRDefault="00000000">
            <w:pPr>
              <w:spacing w:after="40"/>
              <w:jc w:val="center"/>
            </w:pPr>
            <w:r>
              <w:rPr>
                <w:rFonts w:ascii="Georgia" w:eastAsia="Georgia" w:hAnsi="Georgia" w:cs="Georgia"/>
                <w:b/>
                <w:bCs/>
                <w:color w:val="FFFFFF"/>
                <w:sz w:val="18"/>
                <w:szCs w:val="18"/>
              </w:rPr>
              <w:t>Phase 1 Software</w:t>
            </w:r>
          </w:p>
          <w:p w14:paraId="72E7F3E1" w14:textId="77777777" w:rsidR="00B7164F" w:rsidRDefault="00000000">
            <w:pPr>
              <w:jc w:val="center"/>
            </w:pPr>
            <w:r>
              <w:rPr>
                <w:i/>
                <w:iCs/>
                <w:color w:val="C8DDB8"/>
                <w:sz w:val="15"/>
                <w:szCs w:val="15"/>
              </w:rPr>
              <w:t>Low Legal Risk</w:t>
            </w:r>
          </w:p>
        </w:tc>
        <w:tc>
          <w:tcPr>
            <w:tcW w:w="2160" w:type="dxa"/>
            <w:tcBorders>
              <w:top w:val="none" w:sz="0" w:space="0" w:color="FFFFFF"/>
              <w:left w:val="none" w:sz="0" w:space="0" w:color="FFFFFF"/>
              <w:bottom w:val="none" w:sz="0" w:space="0" w:color="FFFFFF"/>
              <w:right w:val="none" w:sz="0" w:space="0" w:color="FFFFFF"/>
            </w:tcBorders>
            <w:shd w:val="clear" w:color="auto" w:fill="5C7A4E"/>
            <w:tcMar>
              <w:top w:w="120" w:type="dxa"/>
              <w:left w:w="140" w:type="dxa"/>
              <w:bottom w:w="120" w:type="dxa"/>
              <w:right w:w="140" w:type="dxa"/>
            </w:tcMar>
          </w:tcPr>
          <w:p w14:paraId="4783F413" w14:textId="77777777" w:rsidR="00B7164F" w:rsidRDefault="00000000">
            <w:pPr>
              <w:spacing w:after="40"/>
              <w:jc w:val="center"/>
            </w:pPr>
            <w:r>
              <w:rPr>
                <w:rFonts w:ascii="Georgia" w:eastAsia="Georgia" w:hAnsi="Georgia" w:cs="Georgia"/>
                <w:b/>
                <w:bCs/>
                <w:color w:val="FFFFFF"/>
                <w:sz w:val="18"/>
                <w:szCs w:val="18"/>
              </w:rPr>
              <w:t>Phase 2 Affiliate Link</w:t>
            </w:r>
          </w:p>
          <w:p w14:paraId="2C3767FA" w14:textId="77777777" w:rsidR="00B7164F" w:rsidRDefault="00000000">
            <w:pPr>
              <w:jc w:val="center"/>
            </w:pPr>
            <w:r>
              <w:rPr>
                <w:i/>
                <w:iCs/>
                <w:color w:val="C8DDB8"/>
                <w:sz w:val="15"/>
                <w:szCs w:val="15"/>
              </w:rPr>
              <w:t>Proof of Demand</w:t>
            </w:r>
          </w:p>
        </w:tc>
        <w:tc>
          <w:tcPr>
            <w:tcW w:w="2160" w:type="dxa"/>
            <w:tcBorders>
              <w:top w:val="none" w:sz="0" w:space="0" w:color="FFFFFF"/>
              <w:left w:val="none" w:sz="0" w:space="0" w:color="FFFFFF"/>
              <w:bottom w:val="none" w:sz="0" w:space="0" w:color="FFFFFF"/>
              <w:right w:val="none" w:sz="0" w:space="0" w:color="FFFFFF"/>
            </w:tcBorders>
            <w:shd w:val="clear" w:color="auto" w:fill="8AAB6E"/>
            <w:tcMar>
              <w:top w:w="120" w:type="dxa"/>
              <w:left w:w="140" w:type="dxa"/>
              <w:bottom w:w="120" w:type="dxa"/>
              <w:right w:w="140" w:type="dxa"/>
            </w:tcMar>
          </w:tcPr>
          <w:p w14:paraId="649CAAF3" w14:textId="77777777" w:rsidR="00B7164F" w:rsidRDefault="00000000">
            <w:pPr>
              <w:spacing w:after="40"/>
              <w:jc w:val="center"/>
            </w:pPr>
            <w:r>
              <w:rPr>
                <w:rFonts w:ascii="Georgia" w:eastAsia="Georgia" w:hAnsi="Georgia" w:cs="Georgia"/>
                <w:b/>
                <w:bCs/>
                <w:color w:val="FFFFFF"/>
                <w:sz w:val="18"/>
                <w:szCs w:val="18"/>
              </w:rPr>
              <w:t>Phase 3 Brand Partner</w:t>
            </w:r>
          </w:p>
          <w:p w14:paraId="695710E7" w14:textId="77777777" w:rsidR="00B7164F" w:rsidRDefault="00000000">
            <w:pPr>
              <w:jc w:val="center"/>
            </w:pPr>
            <w:r>
              <w:rPr>
                <w:i/>
                <w:iCs/>
                <w:color w:val="C8DDB8"/>
                <w:sz w:val="15"/>
                <w:szCs w:val="15"/>
              </w:rPr>
              <w:t>Whitelabel Sourcing</w:t>
            </w:r>
          </w:p>
        </w:tc>
        <w:tc>
          <w:tcPr>
            <w:tcW w:w="2160" w:type="dxa"/>
            <w:tcBorders>
              <w:top w:val="none" w:sz="0" w:space="0" w:color="FFFFFF"/>
              <w:left w:val="none" w:sz="0" w:space="0" w:color="FFFFFF"/>
              <w:bottom w:val="none" w:sz="0" w:space="0" w:color="FFFFFF"/>
              <w:right w:val="none" w:sz="0" w:space="0" w:color="FFFFFF"/>
            </w:tcBorders>
            <w:shd w:val="clear" w:color="auto" w:fill="C8A050"/>
            <w:tcMar>
              <w:top w:w="120" w:type="dxa"/>
              <w:left w:w="140" w:type="dxa"/>
              <w:bottom w:w="120" w:type="dxa"/>
              <w:right w:w="140" w:type="dxa"/>
            </w:tcMar>
          </w:tcPr>
          <w:p w14:paraId="4C306BF2" w14:textId="77777777" w:rsidR="00B7164F" w:rsidRDefault="00000000">
            <w:pPr>
              <w:spacing w:after="40"/>
              <w:jc w:val="center"/>
            </w:pPr>
            <w:r>
              <w:rPr>
                <w:rFonts w:ascii="Georgia" w:eastAsia="Georgia" w:hAnsi="Georgia" w:cs="Georgia"/>
                <w:b/>
                <w:bCs/>
                <w:color w:val="FFFFFF"/>
                <w:sz w:val="18"/>
                <w:szCs w:val="18"/>
              </w:rPr>
              <w:t>Phase 4 Custom Kit</w:t>
            </w:r>
          </w:p>
          <w:p w14:paraId="78AA10AE" w14:textId="77777777" w:rsidR="00B7164F" w:rsidRDefault="00000000">
            <w:pPr>
              <w:jc w:val="center"/>
            </w:pPr>
            <w:r>
              <w:rPr>
                <w:i/>
                <w:iCs/>
                <w:color w:val="C8DDB8"/>
                <w:sz w:val="15"/>
                <w:szCs w:val="15"/>
              </w:rPr>
              <w:t>Maximum Margin</w:t>
            </w:r>
          </w:p>
        </w:tc>
      </w:tr>
    </w:tbl>
    <w:p w14:paraId="010F8454" w14:textId="77777777" w:rsidR="00B7164F" w:rsidRDefault="00000000">
      <w:r>
        <w:rPr>
          <w:sz w:val="14"/>
          <w:szCs w:val="14"/>
        </w:rPr>
        <w:t xml:space="preserve"> </w:t>
      </w:r>
    </w:p>
    <w:p w14:paraId="4B54494E" w14:textId="77777777" w:rsidR="00B7164F" w:rsidRDefault="00000000">
      <w:pPr>
        <w:pStyle w:val="Heading2"/>
      </w:pPr>
      <w:r>
        <w:t>Phase 1: The Informational Foundation (Current Gate)</w:t>
      </w:r>
    </w:p>
    <w:p w14:paraId="7B8D176A" w14:textId="77777777" w:rsidR="00B7164F" w:rsidRDefault="00000000">
      <w:pPr>
        <w:pStyle w:val="ListParagraph"/>
        <w:numPr>
          <w:ilvl w:val="0"/>
          <w:numId w:val="3"/>
        </w:numPr>
        <w:spacing w:before="40" w:after="60"/>
      </w:pPr>
      <w:r>
        <w:rPr>
          <w:b/>
          <w:bCs/>
          <w:color w:val="1A2E1A"/>
        </w:rPr>
        <w:t xml:space="preserve">Operational Footprint: </w:t>
      </w:r>
      <w:r>
        <w:t>A premium, minimalist iOS application acting strictly as a digital reference archive for exactly 11 historically vetted, cross-cultural preventive protocols.</w:t>
      </w:r>
    </w:p>
    <w:p w14:paraId="6EC84041" w14:textId="77777777" w:rsidR="00B7164F" w:rsidRDefault="00000000">
      <w:pPr>
        <w:pStyle w:val="ListParagraph"/>
        <w:numPr>
          <w:ilvl w:val="0"/>
          <w:numId w:val="3"/>
        </w:numPr>
        <w:spacing w:before="40" w:after="60"/>
      </w:pPr>
      <w:r>
        <w:rPr>
          <w:b/>
          <w:bCs/>
          <w:color w:val="1A2E1A"/>
        </w:rPr>
        <w:t xml:space="preserve">Database Utility: </w:t>
      </w:r>
      <w:r>
        <w:t>Leverages Google Firebase Cloud Infrastructure (Auth and Firestore) to track anonymized user protocol engagement loops over fixed timelines (14 to 21-day cycles).</w:t>
      </w:r>
    </w:p>
    <w:p w14:paraId="1355FC78" w14:textId="77777777" w:rsidR="00B7164F" w:rsidRDefault="00000000">
      <w:pPr>
        <w:pStyle w:val="ListParagraph"/>
        <w:numPr>
          <w:ilvl w:val="0"/>
          <w:numId w:val="3"/>
        </w:numPr>
        <w:spacing w:before="40" w:after="60"/>
      </w:pPr>
      <w:r>
        <w:rPr>
          <w:b/>
          <w:bCs/>
          <w:color w:val="1A2E1A"/>
        </w:rPr>
        <w:t xml:space="preserve">Capital Risk: </w:t>
      </w:r>
      <w:r>
        <w:t>Near-zero. Built entirely through software iterations via SwiftUI and Cloud Database localization.</w:t>
      </w:r>
    </w:p>
    <w:p w14:paraId="64C34F00" w14:textId="77777777" w:rsidR="00B7164F" w:rsidRDefault="00000000">
      <w:pPr>
        <w:pStyle w:val="ListParagraph"/>
        <w:numPr>
          <w:ilvl w:val="0"/>
          <w:numId w:val="3"/>
        </w:numPr>
        <w:spacing w:before="40" w:after="60"/>
      </w:pPr>
      <w:r>
        <w:rPr>
          <w:b/>
          <w:bCs/>
          <w:color w:val="1A2E1A"/>
        </w:rPr>
        <w:t xml:space="preserve">Regulatory Stance: </w:t>
      </w:r>
      <w:r>
        <w:t>Completely exempt from medical device tracking framework by operating purely under FDA General Wellness Guidance for educational and reference software.</w:t>
      </w:r>
    </w:p>
    <w:p w14:paraId="33BA90D0" w14:textId="77777777" w:rsidR="00B7164F" w:rsidRDefault="00000000">
      <w:r>
        <w:rPr>
          <w:sz w:val="14"/>
          <w:szCs w:val="14"/>
        </w:rPr>
        <w:t xml:space="preserve"> </w:t>
      </w:r>
    </w:p>
    <w:p w14:paraId="17523EED" w14:textId="77777777" w:rsidR="00B7164F" w:rsidRDefault="00000000">
      <w:pPr>
        <w:pStyle w:val="Heading2"/>
      </w:pPr>
      <w:r>
        <w:t>Phase 2: The Affiliate Concierge (Demand Validation)</w:t>
      </w:r>
    </w:p>
    <w:p w14:paraId="4944C8E3" w14:textId="77777777" w:rsidR="00B7164F" w:rsidRDefault="00000000">
      <w:pPr>
        <w:pStyle w:val="ListParagraph"/>
        <w:numPr>
          <w:ilvl w:val="0"/>
          <w:numId w:val="3"/>
        </w:numPr>
        <w:spacing w:before="40" w:after="60"/>
      </w:pPr>
      <w:r>
        <w:rPr>
          <w:b/>
          <w:bCs/>
          <w:color w:val="1A2E1A"/>
        </w:rPr>
        <w:t xml:space="preserve">Operational Footprint: </w:t>
      </w:r>
      <w:r>
        <w:t xml:space="preserve">Insertion of a minimalist, contextually driven </w:t>
      </w:r>
      <w:r>
        <w:rPr>
          <w:i/>
          <w:iCs/>
        </w:rPr>
        <w:t>Source Ingredients</w:t>
      </w:r>
      <w:r>
        <w:t xml:space="preserve"> component directly into the data-driven RemedyDetailView.</w:t>
      </w:r>
    </w:p>
    <w:p w14:paraId="6EDB8E8B" w14:textId="77777777" w:rsidR="00B7164F" w:rsidRDefault="00000000">
      <w:pPr>
        <w:pStyle w:val="ListParagraph"/>
        <w:numPr>
          <w:ilvl w:val="0"/>
          <w:numId w:val="3"/>
        </w:numPr>
        <w:spacing w:before="40" w:after="60"/>
      </w:pPr>
      <w:r>
        <w:rPr>
          <w:b/>
          <w:bCs/>
          <w:color w:val="1A2E1A"/>
        </w:rPr>
        <w:t xml:space="preserve">Execution: </w:t>
      </w:r>
      <w:r>
        <w:t>Deep-linking users to pre-populated ingredient baskets on certified, third-party bulk organic botanical marketplaces (e.g., Mountain Rose Herbs, Starwest Botanicals) utilizing affiliate API routing.</w:t>
      </w:r>
    </w:p>
    <w:p w14:paraId="77F861C7" w14:textId="77777777" w:rsidR="00B7164F" w:rsidRDefault="00000000">
      <w:pPr>
        <w:pStyle w:val="ListParagraph"/>
        <w:numPr>
          <w:ilvl w:val="0"/>
          <w:numId w:val="3"/>
        </w:numPr>
        <w:spacing w:before="40" w:after="60"/>
      </w:pPr>
      <w:r>
        <w:rPr>
          <w:b/>
          <w:bCs/>
          <w:color w:val="1A2E1A"/>
        </w:rPr>
        <w:t xml:space="preserve">Strategic Objective: </w:t>
      </w:r>
      <w:r>
        <w:t>Zero-inventory demand testing. If a significant percentage of active tracking cohorts click the sourcing button to purchase loose-leaf ingredients independently, market demand is empirically verified. Nise extracts a low-overhead affiliate revenue stream while bearing zero packaging or shipping liability.</w:t>
      </w:r>
    </w:p>
    <w:p w14:paraId="0ECC1618" w14:textId="77777777" w:rsidR="00B7164F" w:rsidRDefault="00000000">
      <w:r>
        <w:rPr>
          <w:sz w:val="14"/>
          <w:szCs w:val="14"/>
        </w:rPr>
        <w:t xml:space="preserve"> </w:t>
      </w:r>
    </w:p>
    <w:p w14:paraId="46784181" w14:textId="77777777" w:rsidR="00B7164F" w:rsidRDefault="00000000">
      <w:pPr>
        <w:pStyle w:val="Heading2"/>
      </w:pPr>
      <w:r>
        <w:t>Phase 3: The White-Label Partnership (Scale Integration)</w:t>
      </w:r>
    </w:p>
    <w:p w14:paraId="0E75C0D7" w14:textId="77777777" w:rsidR="00B7164F" w:rsidRDefault="00000000">
      <w:pPr>
        <w:pStyle w:val="ListParagraph"/>
        <w:numPr>
          <w:ilvl w:val="0"/>
          <w:numId w:val="3"/>
        </w:numPr>
        <w:spacing w:before="40" w:after="60"/>
      </w:pPr>
      <w:r>
        <w:rPr>
          <w:b/>
          <w:bCs/>
          <w:color w:val="1A2E1A"/>
        </w:rPr>
        <w:t xml:space="preserve">Operational Footprint: </w:t>
      </w:r>
      <w:r>
        <w:t>Transition from third-party marketplace links to curated, Nise-branded box sets delivered directly to verified consumer segments.</w:t>
      </w:r>
    </w:p>
    <w:p w14:paraId="5673BCD0" w14:textId="77777777" w:rsidR="00B7164F" w:rsidRDefault="00000000">
      <w:pPr>
        <w:pStyle w:val="ListParagraph"/>
        <w:numPr>
          <w:ilvl w:val="0"/>
          <w:numId w:val="3"/>
        </w:numPr>
        <w:spacing w:before="40" w:after="60"/>
      </w:pPr>
      <w:r>
        <w:rPr>
          <w:b/>
          <w:bCs/>
          <w:color w:val="1A2E1A"/>
        </w:rPr>
        <w:t xml:space="preserve">Execution: </w:t>
      </w:r>
      <w:r>
        <w:t>Utilizing empirical user tracking analytics captured during Phase 2 to eliminate inventory speculation, Nise will contract an established, cGMP-compliant, FDA-registered botanical contract packager to source, quality-test, and seal only our highest-demanded signature blends into premium Nise packaging.</w:t>
      </w:r>
    </w:p>
    <w:p w14:paraId="311F670F" w14:textId="00F8FE8D" w:rsidR="00B7164F" w:rsidRPr="003974AE" w:rsidRDefault="003974AE">
      <w:pPr>
        <w:pStyle w:val="ListParagraph"/>
        <w:numPr>
          <w:ilvl w:val="0"/>
          <w:numId w:val="3"/>
        </w:numPr>
        <w:spacing w:before="40" w:after="60"/>
      </w:pPr>
      <w:r>
        <w:rPr>
          <w:b/>
          <w:bCs/>
          <w:color w:val="1A2E1A"/>
        </w:rPr>
        <w:t xml:space="preserve">Regulatory Stance (Corrected): </w:t>
      </w:r>
      <w:r>
        <w:rPr>
          <w:color w:val="4A5A3A"/>
        </w:rPr>
        <w:t xml:space="preserve">While Nise acts as the Brand and Distributor of Record—holding primary accountability for regulatory and labeling compliance—physical operational risks are systematically mitigated. Nise enforces strict cGMP contract manufacturing requirements, binds partners to ironclad product quality agreements with </w:t>
        <w:t xml:space="preserve">full legal indemnification clauses, and utilizes dedicated nutraceutical product liability insurance to isolate and protect company capital from manufacturing-level liabilities.</w:t>
      </w:r>
    </w:p>
    <w:p w14:paraId="1CC168B8" w14:textId="77777777" w:rsidR="00B7164F" w:rsidRDefault="00000000">
      <w:r>
        <w:rPr>
          <w:sz w:val="14"/>
          <w:szCs w:val="14"/>
        </w:rPr>
        <w:t xml:space="preserve"> </w:t>
      </w:r>
    </w:p>
    <w:p w14:paraId="42DB0C26" w14:textId="77777777" w:rsidR="00B7164F" w:rsidRDefault="00000000">
      <w:pPr>
        <w:pStyle w:val="Heading2"/>
      </w:pPr>
      <w:r>
        <w:t>Phase 4: Vertical Integration (The Enterprise End Game)</w:t>
      </w:r>
    </w:p>
    <w:p w14:paraId="686DD536" w14:textId="77777777" w:rsidR="00B7164F" w:rsidRDefault="00000000">
      <w:pPr>
        <w:pStyle w:val="ListParagraph"/>
        <w:numPr>
          <w:ilvl w:val="0"/>
          <w:numId w:val="3"/>
        </w:numPr>
        <w:spacing w:before="40" w:after="60"/>
      </w:pPr>
      <w:r>
        <w:rPr>
          <w:b/>
          <w:bCs/>
          <w:color w:val="1A2E1A"/>
        </w:rPr>
        <w:t xml:space="preserve">Operational Footprint: </w:t>
      </w:r>
      <w:r>
        <w:t>Full-scale operations as a direct-to-consumer physical-and-digital health brand.</w:t>
      </w:r>
    </w:p>
    <w:p w14:paraId="5899566D" w14:textId="77777777" w:rsidR="00B7164F" w:rsidRDefault="00000000">
      <w:pPr>
        <w:pStyle w:val="ListParagraph"/>
        <w:numPr>
          <w:ilvl w:val="0"/>
          <w:numId w:val="3"/>
        </w:numPr>
        <w:spacing w:before="40" w:after="60"/>
      </w:pPr>
      <w:r>
        <w:rPr>
          <w:b/>
          <w:bCs/>
          <w:color w:val="1A2E1A"/>
        </w:rPr>
        <w:t xml:space="preserve">Execution: </w:t>
      </w:r>
      <w:r>
        <w:t>Securing direct proprietary supply chains with indigenous and regional agricultural heritages worldwide (e.g., custom sourcing specific botanical varieties directly from their historical locations), in-house fulfillment, maximum brand equity, and optimization of gross margins.</w:t>
      </w:r>
    </w:p>
    <w:p w14:paraId="0D957D53" w14:textId="77777777" w:rsidR="00B7164F" w:rsidRDefault="00000000">
      <w:r>
        <w:rPr>
          <w:sz w:val="14"/>
          <w:szCs w:val="14"/>
        </w:rPr>
        <w:t xml:space="preserve"> </w:t>
      </w:r>
    </w:p>
    <w:p w14:paraId="3AF597F1" w14:textId="77777777" w:rsidR="00B7164F" w:rsidRDefault="00000000">
      <w:pPr>
        <w:pStyle w:val="Heading1"/>
        <w:pBdr>
          <w:bottom w:val="single" w:sz="4" w:space="6" w:color="C8DDB8"/>
        </w:pBdr>
      </w:pPr>
      <w:r>
        <w:t>3. Risk Mitigation &amp; Compliance Directives</w:t>
      </w:r>
    </w:p>
    <w:p w14:paraId="7AD2DAA1" w14:textId="77777777" w:rsidR="00B7164F" w:rsidRDefault="00000000">
      <w:pPr>
        <w:spacing w:after="160" w:line="276" w:lineRule="auto"/>
      </w:pPr>
      <w:r>
        <w:t>To ensure absolute safety during the Phase 1 TestFlight deployment and safeguard personal corporate boundaries, the platform enforces strict structural limits.</w:t>
      </w:r>
    </w:p>
    <w:p w14:paraId="061A49C7" w14:textId="77777777" w:rsidR="00B7164F" w:rsidRDefault="00000000">
      <w:pPr>
        <w:pStyle w:val="Heading2"/>
      </w:pPr>
      <w:r>
        <w:t>A. The "Archive Accord" Gate (User Legal Insulation)</w:t>
      </w:r>
    </w:p>
    <w:p w14:paraId="398D115D" w14:textId="77777777" w:rsidR="00B7164F" w:rsidRDefault="00000000">
      <w:pPr>
        <w:spacing w:after="120" w:line="276" w:lineRule="auto"/>
      </w:pPr>
      <w:r>
        <w:t>Before initializing a historical tracking loop, the user interface drops a high-end, modal safety layout. It reframes the legal disclaimer as an elegant respect ritual:</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B7164F" w14:paraId="64F464E6" w14:textId="77777777">
        <w:tblPrEx>
          <w:tblCellMar>
            <w:top w:w="0" w:type="dxa"/>
            <w:bottom w:w="0" w:type="dxa"/>
          </w:tblCellMar>
        </w:tblPrEx>
        <w:tc>
          <w:tcPr>
            <w:tcW w:w="5040" w:type="dxa"/>
            <w:tcBorders>
              <w:top w:val="single" w:sz="1" w:space="0" w:color="D0C8C0"/>
              <w:left w:val="single" w:sz="1" w:space="0" w:color="D0C8C0"/>
              <w:bottom w:val="single" w:sz="1" w:space="0" w:color="D0C8C0"/>
              <w:right w:val="single" w:sz="1" w:space="0" w:color="D0C8C0"/>
            </w:tcBorders>
            <w:shd w:val="clear" w:color="auto" w:fill="F8F5F0"/>
            <w:tcMar>
              <w:top w:w="160" w:type="dxa"/>
              <w:left w:w="360" w:type="dxa"/>
              <w:bottom w:w="160" w:type="dxa"/>
              <w:right w:w="360" w:type="dxa"/>
            </w:tcMar>
          </w:tcPr>
          <w:p w14:paraId="73DFEDDB" w14:textId="77777777" w:rsidR="00B7164F" w:rsidRDefault="00000000">
            <w:pPr>
              <w:spacing w:before="20" w:after="20"/>
              <w:jc w:val="center"/>
            </w:pPr>
            <w:r>
              <w:rPr>
                <w:rFonts w:ascii="Courier New" w:eastAsia="Courier New" w:hAnsi="Courier New" w:cs="Courier New"/>
                <w:b/>
                <w:bCs/>
                <w:color w:val="1A2E1A"/>
                <w:sz w:val="18"/>
                <w:szCs w:val="18"/>
              </w:rPr>
              <w:t>THE ARCHIVE ACCORD</w:t>
            </w:r>
          </w:p>
          <w:p w14:paraId="70B4D8ED" w14:textId="77777777" w:rsidR="00B7164F" w:rsidRDefault="00B7164F">
            <w:pPr>
              <w:spacing w:before="20" w:after="20"/>
            </w:pPr>
          </w:p>
          <w:p w14:paraId="64F2EB5D" w14:textId="77777777" w:rsidR="00B7164F" w:rsidRDefault="00000000">
            <w:pPr>
              <w:spacing w:before="20" w:after="20"/>
            </w:pPr>
            <w:r>
              <w:rPr>
                <w:rFonts w:ascii="Courier New" w:eastAsia="Courier New" w:hAnsi="Courier New" w:cs="Courier New"/>
                <w:sz w:val="18"/>
                <w:szCs w:val="18"/>
              </w:rPr>
              <w:t>You are opening a historical</w:t>
            </w:r>
          </w:p>
          <w:p w14:paraId="563C44F2" w14:textId="77777777" w:rsidR="00B7164F" w:rsidRDefault="00000000">
            <w:pPr>
              <w:spacing w:before="20" w:after="20"/>
            </w:pPr>
            <w:r>
              <w:rPr>
                <w:rFonts w:ascii="Courier New" w:eastAsia="Courier New" w:hAnsi="Courier New" w:cs="Courier New"/>
                <w:sz w:val="18"/>
                <w:szCs w:val="18"/>
              </w:rPr>
              <w:t>cross-cultural protocol.</w:t>
            </w:r>
          </w:p>
          <w:p w14:paraId="612DE2E9" w14:textId="77777777" w:rsidR="00B7164F" w:rsidRDefault="00B7164F">
            <w:pPr>
              <w:spacing w:before="20" w:after="20"/>
            </w:pPr>
          </w:p>
          <w:p w14:paraId="3866ED2C" w14:textId="77777777" w:rsidR="00B7164F" w:rsidRDefault="00000000">
            <w:pPr>
              <w:spacing w:before="20" w:after="20"/>
            </w:pPr>
            <w:r>
              <w:rPr>
                <w:rFonts w:ascii="Courier New" w:eastAsia="Courier New" w:hAnsi="Courier New" w:cs="Courier New"/>
                <w:sz w:val="18"/>
                <w:szCs w:val="18"/>
              </w:rPr>
              <w:t>[!]  Note: Traditional practices</w:t>
            </w:r>
          </w:p>
          <w:p w14:paraId="5FA5735F" w14:textId="77777777" w:rsidR="00B7164F" w:rsidRDefault="00000000">
            <w:pPr>
              <w:spacing w:before="20" w:after="20"/>
            </w:pPr>
            <w:r>
              <w:rPr>
                <w:rFonts w:ascii="Courier New" w:eastAsia="Courier New" w:hAnsi="Courier New" w:cs="Courier New"/>
                <w:sz w:val="18"/>
                <w:szCs w:val="18"/>
              </w:rPr>
              <w:t xml:space="preserve">      utilize raw botanical</w:t>
            </w:r>
          </w:p>
          <w:p w14:paraId="6947DACD" w14:textId="77777777" w:rsidR="00B7164F" w:rsidRDefault="00000000">
            <w:pPr>
              <w:spacing w:before="20" w:after="20"/>
            </w:pPr>
            <w:r>
              <w:rPr>
                <w:rFonts w:ascii="Courier New" w:eastAsia="Courier New" w:hAnsi="Courier New" w:cs="Courier New"/>
                <w:sz w:val="18"/>
                <w:szCs w:val="18"/>
              </w:rPr>
              <w:t xml:space="preserve">      infusions that can interact</w:t>
            </w:r>
          </w:p>
          <w:p w14:paraId="04A1DBC5" w14:textId="77777777" w:rsidR="00B7164F" w:rsidRDefault="00000000">
            <w:pPr>
              <w:spacing w:before="20" w:after="20"/>
            </w:pPr>
            <w:r>
              <w:rPr>
                <w:rFonts w:ascii="Courier New" w:eastAsia="Courier New" w:hAnsi="Courier New" w:cs="Courier New"/>
                <w:sz w:val="18"/>
                <w:szCs w:val="18"/>
              </w:rPr>
              <w:t xml:space="preserve">      with modern habits.</w:t>
            </w:r>
          </w:p>
          <w:p w14:paraId="5078BA41" w14:textId="77777777" w:rsidR="00B7164F" w:rsidRDefault="00B7164F">
            <w:pPr>
              <w:spacing w:before="20" w:after="20"/>
            </w:pPr>
          </w:p>
          <w:p w14:paraId="428E3777" w14:textId="77777777" w:rsidR="00B7164F" w:rsidRDefault="00000000">
            <w:pPr>
              <w:spacing w:before="20" w:after="20"/>
            </w:pPr>
            <w:r>
              <w:rPr>
                <w:rFonts w:ascii="Courier New" w:eastAsia="Courier New" w:hAnsi="Courier New" w:cs="Courier New"/>
                <w:sz w:val="18"/>
                <w:szCs w:val="18"/>
              </w:rPr>
              <w:t>[✔]  I agree to cross-reference</w:t>
            </w:r>
          </w:p>
          <w:p w14:paraId="64F2A0A0" w14:textId="77777777" w:rsidR="00B7164F" w:rsidRDefault="00000000">
            <w:pPr>
              <w:spacing w:before="20" w:after="20"/>
            </w:pPr>
            <w:r>
              <w:rPr>
                <w:rFonts w:ascii="Courier New" w:eastAsia="Courier New" w:hAnsi="Courier New" w:cs="Courier New"/>
                <w:sz w:val="18"/>
                <w:szCs w:val="18"/>
              </w:rPr>
              <w:t xml:space="preserve">      these traditional practices with</w:t>
            </w:r>
          </w:p>
          <w:p w14:paraId="4B091681" w14:textId="77777777" w:rsidR="00B7164F" w:rsidRDefault="00000000">
            <w:pPr>
              <w:spacing w:before="20" w:after="20"/>
            </w:pPr>
            <w:r>
              <w:rPr>
                <w:rFonts w:ascii="Courier New" w:eastAsia="Courier New" w:hAnsi="Courier New" w:cs="Courier New"/>
                <w:sz w:val="18"/>
                <w:szCs w:val="18"/>
              </w:rPr>
              <w:t xml:space="preserve">      my healthcare provider.</w:t>
            </w:r>
          </w:p>
          <w:p w14:paraId="36B140C9" w14:textId="77777777" w:rsidR="00B7164F" w:rsidRDefault="00B7164F">
            <w:pPr>
              <w:spacing w:before="20" w:after="20"/>
            </w:pPr>
          </w:p>
          <w:p w14:paraId="490F2467" w14:textId="77777777" w:rsidR="00B7164F" w:rsidRDefault="00000000">
            <w:pPr>
              <w:spacing w:before="20" w:after="20"/>
              <w:jc w:val="center"/>
            </w:pPr>
            <w:r>
              <w:rPr>
                <w:rFonts w:ascii="Courier New" w:eastAsia="Courier New" w:hAnsi="Courier New" w:cs="Courier New"/>
                <w:b/>
                <w:bCs/>
                <w:color w:val="1A2E1A"/>
                <w:sz w:val="18"/>
                <w:szCs w:val="18"/>
              </w:rPr>
              <w:t>[ ENTER ARCHIVE ]</w:t>
            </w:r>
          </w:p>
        </w:tc>
      </w:tr>
    </w:tbl>
    <w:p w14:paraId="0ECFB176" w14:textId="77777777" w:rsidR="00B7164F" w:rsidRDefault="00000000">
      <w:r>
        <w:rPr>
          <w:sz w:val="14"/>
          <w:szCs w:val="14"/>
        </w:rPr>
        <w:t xml:space="preserve"> </w:t>
      </w:r>
    </w:p>
    <w:p w14:paraId="50D7B08B" w14:textId="77777777" w:rsidR="00B7164F" w:rsidRDefault="00000000">
      <w:pPr>
        <w:pStyle w:val="Heading2"/>
      </w:pPr>
      <w:r>
        <w:t>B. Taxonomical &amp; Data Cleansing</w:t>
      </w:r>
    </w:p>
    <w:p w14:paraId="7D9C9291" w14:textId="77777777" w:rsidR="00B7164F" w:rsidRDefault="00000000">
      <w:pPr>
        <w:spacing w:after="80" w:line="276" w:lineRule="auto"/>
      </w:pPr>
      <w:r>
        <w:t>All hardcoded application data layers must be thoroughly scrubbed of clinical diagnostic terminology to bypass automated Apple App Review scrapers (Guideline 1.4.1).</w:t>
      </w:r>
    </w:p>
    <w:p w14:paraId="7AAFCF37" w14:textId="77777777" w:rsidR="00B7164F" w:rsidRDefault="00000000">
      <w:pPr>
        <w:pStyle w:val="ListParagraph"/>
        <w:numPr>
          <w:ilvl w:val="0"/>
          <w:numId w:val="3"/>
        </w:numPr>
        <w:spacing w:before="40" w:after="60"/>
      </w:pPr>
      <w:r>
        <w:t xml:space="preserve">Clinical diagnoses like </w:t>
      </w:r>
      <w:r>
        <w:rPr>
          <w:i/>
          <w:iCs/>
        </w:rPr>
        <w:t>Rheumatoid Arthritis</w:t>
      </w:r>
      <w:r>
        <w:t xml:space="preserve"> are abstracted to systems-based conditions such as </w:t>
      </w:r>
      <w:r>
        <w:rPr>
          <w:i/>
          <w:iCs/>
          <w:color w:val="5C7A4E"/>
        </w:rPr>
        <w:t>Severe Chronic Inflammatory Joint Discomfort</w:t>
      </w:r>
      <w:r>
        <w:t>.</w:t>
      </w:r>
    </w:p>
    <w:p w14:paraId="45AD6BA3" w14:textId="77777777" w:rsidR="00B7164F" w:rsidRDefault="00000000">
      <w:pPr>
        <w:pStyle w:val="ListParagraph"/>
        <w:numPr>
          <w:ilvl w:val="0"/>
          <w:numId w:val="3"/>
        </w:numPr>
        <w:spacing w:before="40" w:after="60"/>
      </w:pPr>
      <w:r>
        <w:t>Direct dosage instructions to the user (</w:t>
      </w:r>
      <w:r>
        <w:rPr>
          <w:i/>
          <w:iCs/>
        </w:rPr>
        <w:t>"Take twice daily"</w:t>
      </w:r>
      <w:r>
        <w:t>) are transitioned to third-person past-tense historical case records (</w:t>
      </w:r>
      <w:r>
        <w:rPr>
          <w:i/>
          <w:iCs/>
          <w:color w:val="5C7A4E"/>
        </w:rPr>
        <w:t>"Historically, within this lineage, practitioners prepared this infusion twice daily..."</w:t>
      </w:r>
      <w:r>
        <w:t>)</w:t>
      </w:r>
    </w:p>
    <w:p w14:paraId="29073365" w14:textId="77777777" w:rsidR="00B7164F" w:rsidRDefault="00000000">
      <w:r>
        <w:rPr>
          <w:sz w:val="14"/>
          <w:szCs w:val="14"/>
        </w:rPr>
        <w:t xml:space="preserve"> </w:t>
      </w:r>
    </w:p>
    <w:p w14:paraId="144B61BE" w14:textId="77777777" w:rsidR="00B7164F" w:rsidRDefault="00000000">
      <w:pPr>
        <w:pStyle w:val="Heading2"/>
      </w:pPr>
      <w:r>
        <w:lastRenderedPageBreak/>
        <w:t>C. Complete Corporate Isolation (The W2 Firewall)</w:t>
      </w:r>
    </w:p>
    <w:p w14:paraId="2AF16468" w14:textId="77777777" w:rsidR="00B7164F" w:rsidRDefault="00000000">
      <w:pPr>
        <w:spacing w:after="80" w:line="276" w:lineRule="auto"/>
      </w:pPr>
      <w:r>
        <w:t>To protect intellectual property from corporate invention assignment clauses, all engineering procedures observe absolute isolation:</w:t>
      </w:r>
    </w:p>
    <w:p w14:paraId="09A5ADF8" w14:textId="77777777" w:rsidR="00B7164F" w:rsidRDefault="00000000">
      <w:pPr>
        <w:pStyle w:val="ListParagraph"/>
        <w:numPr>
          <w:ilvl w:val="0"/>
          <w:numId w:val="3"/>
        </w:numPr>
        <w:spacing w:before="40" w:after="60"/>
      </w:pPr>
      <w:r>
        <w:rPr>
          <w:b/>
          <w:bCs/>
          <w:color w:val="1A2E1A"/>
        </w:rPr>
        <w:t xml:space="preserve">Zero Shared Hardware: </w:t>
      </w:r>
      <w:r>
        <w:t>No compilation, Firebase monitoring, or source control interaction will ever occur on an employer-provided machine.</w:t>
      </w:r>
    </w:p>
    <w:p w14:paraId="340FC1CF" w14:textId="77777777" w:rsidR="00B7164F" w:rsidRDefault="00000000">
      <w:pPr>
        <w:pStyle w:val="ListParagraph"/>
        <w:numPr>
          <w:ilvl w:val="0"/>
          <w:numId w:val="3"/>
        </w:numPr>
        <w:spacing w:before="40" w:after="60"/>
      </w:pPr>
      <w:r>
        <w:rPr>
          <w:b/>
          <w:bCs/>
          <w:color w:val="1A2E1A"/>
        </w:rPr>
        <w:t xml:space="preserve">Temporal Verification: </w:t>
      </w:r>
      <w:r>
        <w:t>Git commits must be cleanly timestamped entirely outside of standard corporate working hours (evenings and weekends), providing a definitive legal record that the architecture was engineered entirely on personal time.</w:t>
      </w:r>
    </w:p>
    <w:p w14:paraId="5B8AFD50" w14:textId="77777777" w:rsidR="00B7164F" w:rsidRDefault="00000000">
      <w:r>
        <w:rPr>
          <w:sz w:val="24"/>
          <w:szCs w:val="24"/>
        </w:rPr>
        <w:t xml:space="preserve"> </w:t>
      </w:r>
    </w:p>
    <w:p>
      <w:pPr>
        <w:pStyle w:val="Heading1"/>
        <w:spacing w:before="360" w:after="160"/>
        <w:pBdr>
          <w:bottom w:val="single" w:sz="4" w:space="6" w:color="C8DDB8"/>
        </w:pBdr>
      </w:pPr>
      <w:r>
        <w:rPr>
          <w:rFonts w:ascii="Georgia" w:eastAsia="Georgia" w:hAnsi="Georgia" w:cs="Georgia"/>
          <w:b/>
          <w:bCs/>
          <w:color w:val="1A2E1A"/>
          <w:sz w:val="36"/>
          <w:szCs w:val="36"/>
        </w:rPr>
        <w:t>4. Next Technical Implementation Targets</w:t>
      </w:r>
    </w:p>
    <w:p>
      <w:pPr>
        <w:spacing w:before="0" w:after="120" w:line="276"/>
      </w:pPr>
      <w:r>
        <w:rPr>
          <w:rFonts w:ascii="Arial" w:eastAsia="Arial" w:hAnsi="Arial" w:cs="Arial"/>
          <w:color w:val="4A5A3A"/>
          <w:sz w:val="20"/>
          <w:szCs w:val="20"/>
        </w:rPr>
        <w:t>The following engineering milestones are queued for execution following TestFlight deployment of Phase 1. Each target is scoped to preserve the zero-friction daily use pattern.</w:t>
      </w:r>
    </w:p>
    <w:p>
      <w:pPr>
        <w:pStyle w:val="ListParagraph"/>
        <w:numPr>
          <w:ilvl w:val="0"/>
          <w:numId w:val="2"/>
        </w:numPr>
        <w:spacing w:before="60" w:after="80"/>
      </w:pPr>
      <w:r>
        <w:rPr>
          <w:rFonts w:ascii="Arial" w:eastAsia="Arial" w:hAnsi="Arial" w:cs="Arial"/>
          <w:b/>
          <w:bCs/>
          <w:color w:val="1A2E1A"/>
          <w:sz w:val="20"/>
          <w:szCs w:val="20"/>
        </w:rPr>
        <w:t xml:space="preserve">Affiliate Deep-Link Integration: </w:t>
      </w:r>
      <w:r>
        <w:rPr>
          <w:rFonts w:ascii="Arial" w:eastAsia="Arial" w:hAnsi="Arial" w:cs="Arial"/>
          <w:color w:val="4A5A3A"/>
          <w:sz w:val="20"/>
          <w:szCs w:val="20"/>
        </w:rPr>
        <w:t>Embedding a contextual “Source Ingredients” component into RemedyDetailScreen that routes users to pre-populated affiliate baskets, activating the Phase 2 demand-validation and revenue loop without backend infrastructure changes.</w:t>
      </w:r>
    </w:p>
    <w:p>
      <w:pPr>
        <w:pStyle w:val="ListParagraph"/>
        <w:numPr>
          <w:ilvl w:val="0"/>
          <w:numId w:val="2"/>
        </w:numPr>
        <w:spacing w:before="60" w:after="80"/>
      </w:pPr>
      <w:r>
        <w:rPr>
          <w:rFonts w:ascii="Arial" w:eastAsia="Arial" w:hAnsi="Arial" w:cs="Arial"/>
          <w:b/>
          <w:bCs/>
          <w:color w:val="1A2E1A"/>
          <w:sz w:val="20"/>
          <w:szCs w:val="20"/>
        </w:rPr>
        <w:t xml:space="preserve">Onboarding Funnel Assembly: </w:t>
      </w:r>
      <w:r>
        <w:rPr>
          <w:rFonts w:ascii="Arial" w:eastAsia="Arial" w:hAnsi="Arial" w:cs="Arial"/>
          <w:color w:val="4A5A3A"/>
          <w:sz w:val="20"/>
          <w:szCs w:val="20"/>
        </w:rPr>
        <w:t>Building a one-time, 3-step, low-friction demographic and system-priority intercept pattern post-login to securely partition user tracking loops without impacting daily use friction.</w:t>
      </w:r>
    </w:p>
    <w:p>
      <w:pPr>
        <w:pStyle w:val="ListParagraph"/>
        <w:numPr>
          <w:ilvl w:val="0"/>
          <w:numId w:val="2"/>
        </w:numPr>
        <w:spacing w:before="60" w:after="80"/>
      </w:pPr>
      <w:r>
        <w:rPr>
          <w:rFonts w:ascii="Arial" w:eastAsia="Arial" w:hAnsi="Arial" w:cs="Arial"/>
          <w:b/>
          <w:bCs/>
          <w:color w:val="1A2E1A"/>
          <w:sz w:val="20"/>
          <w:szCs w:val="20"/>
        </w:rPr>
        <w:t xml:space="preserve">Analytics Pipeline: </w:t>
      </w:r>
      <w:r>
        <w:rPr>
          <w:rFonts w:ascii="Arial" w:eastAsia="Arial" w:hAnsi="Arial" w:cs="Arial"/>
          <w:color w:val="4A5A3A"/>
          <w:sz w:val="20"/>
          <w:szCs w:val="20"/>
        </w:rPr>
        <w:t>Configuring Firestore-backed cohort engagement metrics to log which protocols are started, completed, and which ingredient sourcing buttons are tapped — generating the empirical demand signal required to de-risk Phase 3 inventory selection.</w:t>
      </w:r>
    </w:p>
    <w:p>
      <w:pPr>
        <w:spacing w:before="120" w:after="120"/>
      </w:pPr>
    </w:p>
    <w:p w14:paraId="7E24BB1A" w14:textId="77777777" w:rsidR="00B7164F" w:rsidRDefault="00B7164F">
      <w:pPr>
        <w:pBdr>
          <w:bottom w:val="single" w:sz="2" w:space="1" w:color="C8DDB8"/>
        </w:pBdr>
        <w:spacing w:before="120" w:after="120"/>
      </w:pPr>
    </w:p>
    <w:p w14:paraId="622ADADD" w14:textId="77777777" w:rsidR="00B7164F" w:rsidRDefault="00000000">
      <w:pPr>
        <w:spacing w:after="120" w:line="276" w:lineRule="auto"/>
        <w:jc w:val="center"/>
      </w:pPr>
      <w:r>
        <w:rPr>
          <w:color w:val="C8DDB8"/>
          <w:sz w:val="16"/>
          <w:szCs w:val="16"/>
        </w:rPr>
        <w:t>This document is classified CONFIDENTIAL. Distribution is restricted to authorized internal stakeholders only. Unauthorized disclosure may constitute a material breach of fiduciary duty.</w:t>
      </w:r>
    </w:p>
    <w:sectPr w:rsidR="00B7164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9F041" w14:textId="77777777" w:rsidR="00B02C7A" w:rsidRDefault="00B02C7A">
      <w:r>
        <w:separator/>
      </w:r>
    </w:p>
  </w:endnote>
  <w:endnote w:type="continuationSeparator" w:id="0">
    <w:p w14:paraId="4BF4BF5E" w14:textId="77777777" w:rsidR="00B02C7A" w:rsidRDefault="00B02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3034" w14:textId="77777777" w:rsidR="00B7164F" w:rsidRDefault="00000000">
    <w:pPr>
      <w:pBdr>
        <w:top w:val="single" w:sz="2" w:space="4" w:color="C8DDB8"/>
      </w:pBdr>
      <w:tabs>
        <w:tab w:val="right" w:pos="9360"/>
      </w:tabs>
      <w:spacing w:before="80"/>
    </w:pPr>
    <w:r>
      <w:rPr>
        <w:color w:val="C8DDB8"/>
        <w:sz w:val="16"/>
        <w:szCs w:val="16"/>
      </w:rPr>
      <w:t xml:space="preserve">May </w:t>
    </w:r>
    <w:proofErr w:type="gramStart"/>
    <w:r>
      <w:rPr>
        <w:color w:val="C8DDB8"/>
        <w:sz w:val="16"/>
        <w:szCs w:val="16"/>
      </w:rPr>
      <w:t>2026  ·</w:t>
    </w:r>
    <w:proofErr w:type="gramEnd"/>
    <w:r>
      <w:rPr>
        <w:color w:val="C8DDB8"/>
        <w:sz w:val="16"/>
        <w:szCs w:val="16"/>
      </w:rPr>
      <w:t xml:space="preserve">  Product Management &amp; Engineering</w:t>
    </w:r>
    <w:r>
      <w:tab/>
    </w:r>
    <w:r>
      <w:rPr>
        <w:color w:val="C8DDB8"/>
        <w:sz w:val="16"/>
        <w:szCs w:val="16"/>
      </w:rPr>
      <w:t xml:space="preserve">Page </w:t>
    </w:r>
    <w:r>
      <w:rPr>
        <w:color w:val="C8DDB8"/>
        <w:sz w:val="16"/>
        <w:szCs w:val="16"/>
      </w:rPr>
      <w:fldChar w:fldCharType="begin"/>
    </w:r>
    <w:r>
      <w:rPr>
        <w:color w:val="C8DDB8"/>
        <w:sz w:val="16"/>
        <w:szCs w:val="16"/>
      </w:rPr>
      <w:instrText>PAGE</w:instrText>
    </w:r>
    <w:r>
      <w:rPr>
        <w:color w:val="C8DDB8"/>
        <w:sz w:val="16"/>
        <w:szCs w:val="16"/>
      </w:rPr>
      <w:fldChar w:fldCharType="separate"/>
    </w:r>
    <w:r w:rsidR="003974AE">
      <w:rPr>
        <w:noProof/>
        <w:color w:val="C8DDB8"/>
        <w:sz w:val="16"/>
        <w:szCs w:val="16"/>
      </w:rPr>
      <w:t>1</w:t>
    </w:r>
    <w:r>
      <w:rPr>
        <w:color w:val="C8DD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4D657" w14:textId="77777777" w:rsidR="00B02C7A" w:rsidRDefault="00B02C7A">
      <w:r>
        <w:separator/>
      </w:r>
    </w:p>
  </w:footnote>
  <w:footnote w:type="continuationSeparator" w:id="0">
    <w:p w14:paraId="6E31AEE0" w14:textId="77777777" w:rsidR="00B02C7A" w:rsidRDefault="00B02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F06E" w14:textId="77777777" w:rsidR="00B7164F" w:rsidRDefault="00000000">
    <w:pPr>
      <w:pBdr>
        <w:bottom w:val="single" w:sz="2" w:space="4" w:color="C8DDB8"/>
      </w:pBdr>
      <w:tabs>
        <w:tab w:val="right" w:pos="9360"/>
      </w:tabs>
      <w:spacing w:after="80"/>
    </w:pPr>
    <w:r>
      <w:rPr>
        <w:caps/>
        <w:color w:val="5C7A4E"/>
        <w:sz w:val="16"/>
        <w:szCs w:val="16"/>
      </w:rPr>
      <w:t>NISE — CONFIDENTIAL</w:t>
    </w:r>
    <w:r>
      <w:tab/>
    </w:r>
    <w:r>
      <w:rPr>
        <w:color w:val="C8DDB8"/>
        <w:sz w:val="16"/>
        <w:szCs w:val="16"/>
      </w:rPr>
      <w:t xml:space="preserve">Strategic Business </w:t>
    </w:r>
    <w:proofErr w:type="gramStart"/>
    <w:r>
      <w:rPr>
        <w:color w:val="C8DDB8"/>
        <w:sz w:val="16"/>
        <w:szCs w:val="16"/>
      </w:rPr>
      <w:t>Brief  ·</w:t>
    </w:r>
    <w:proofErr w:type="gramEnd"/>
    <w:r>
      <w:rPr>
        <w:color w:val="C8DDB8"/>
        <w:sz w:val="16"/>
        <w:szCs w:val="16"/>
      </w:rPr>
      <w:t xml:space="preserve">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4F6B"/>
    <w:multiLevelType w:val="hybridMultilevel"/>
    <w:tmpl w:val="F48C622C"/>
    <w:lvl w:ilvl="0" w:tplc="CC16FDD8">
      <w:start w:val="1"/>
      <w:numFmt w:val="decimal"/>
      <w:lvlText w:val="%1."/>
      <w:lvlJc w:val="left"/>
      <w:pPr>
        <w:ind w:left="720" w:hanging="360"/>
      </w:pPr>
    </w:lvl>
    <w:lvl w:ilvl="1" w:tplc="EE3E758E">
      <w:numFmt w:val="decimal"/>
      <w:lvlText w:val=""/>
      <w:lvlJc w:val="left"/>
    </w:lvl>
    <w:lvl w:ilvl="2" w:tplc="47D2B0C8">
      <w:numFmt w:val="decimal"/>
      <w:lvlText w:val=""/>
      <w:lvlJc w:val="left"/>
    </w:lvl>
    <w:lvl w:ilvl="3" w:tplc="5E0442E2">
      <w:numFmt w:val="decimal"/>
      <w:lvlText w:val=""/>
      <w:lvlJc w:val="left"/>
    </w:lvl>
    <w:lvl w:ilvl="4" w:tplc="46EACCEC">
      <w:numFmt w:val="decimal"/>
      <w:lvlText w:val=""/>
      <w:lvlJc w:val="left"/>
    </w:lvl>
    <w:lvl w:ilvl="5" w:tplc="02781586">
      <w:numFmt w:val="decimal"/>
      <w:lvlText w:val=""/>
      <w:lvlJc w:val="left"/>
    </w:lvl>
    <w:lvl w:ilvl="6" w:tplc="17768EB2">
      <w:numFmt w:val="decimal"/>
      <w:lvlText w:val=""/>
      <w:lvlJc w:val="left"/>
    </w:lvl>
    <w:lvl w:ilvl="7" w:tplc="E01671A4">
      <w:numFmt w:val="decimal"/>
      <w:lvlText w:val=""/>
      <w:lvlJc w:val="left"/>
    </w:lvl>
    <w:lvl w:ilvl="8" w:tplc="42B6B8EE">
      <w:numFmt w:val="decimal"/>
      <w:lvlText w:val=""/>
      <w:lvlJc w:val="left"/>
    </w:lvl>
  </w:abstractNum>
  <w:abstractNum w:abstractNumId="1" w15:restartNumberingAfterBreak="0">
    <w:nsid w:val="43722D68"/>
    <w:multiLevelType w:val="hybridMultilevel"/>
    <w:tmpl w:val="432A2160"/>
    <w:lvl w:ilvl="0" w:tplc="BFB05AA4">
      <w:start w:val="1"/>
      <w:numFmt w:val="bullet"/>
      <w:lvlText w:val="●"/>
      <w:lvlJc w:val="left"/>
      <w:pPr>
        <w:ind w:left="720" w:hanging="360"/>
      </w:pPr>
    </w:lvl>
    <w:lvl w:ilvl="1" w:tplc="B1A0CCFE">
      <w:start w:val="1"/>
      <w:numFmt w:val="bullet"/>
      <w:lvlText w:val="○"/>
      <w:lvlJc w:val="left"/>
      <w:pPr>
        <w:ind w:left="1440" w:hanging="360"/>
      </w:pPr>
    </w:lvl>
    <w:lvl w:ilvl="2" w:tplc="AAEEE158">
      <w:start w:val="1"/>
      <w:numFmt w:val="bullet"/>
      <w:lvlText w:val="■"/>
      <w:lvlJc w:val="left"/>
      <w:pPr>
        <w:ind w:left="2160" w:hanging="360"/>
      </w:pPr>
    </w:lvl>
    <w:lvl w:ilvl="3" w:tplc="A9DAB806">
      <w:start w:val="1"/>
      <w:numFmt w:val="bullet"/>
      <w:lvlText w:val="●"/>
      <w:lvlJc w:val="left"/>
      <w:pPr>
        <w:ind w:left="2880" w:hanging="360"/>
      </w:pPr>
    </w:lvl>
    <w:lvl w:ilvl="4" w:tplc="324AA928">
      <w:start w:val="1"/>
      <w:numFmt w:val="bullet"/>
      <w:lvlText w:val="○"/>
      <w:lvlJc w:val="left"/>
      <w:pPr>
        <w:ind w:left="3600" w:hanging="360"/>
      </w:pPr>
    </w:lvl>
    <w:lvl w:ilvl="5" w:tplc="170226C0">
      <w:start w:val="1"/>
      <w:numFmt w:val="bullet"/>
      <w:lvlText w:val="■"/>
      <w:lvlJc w:val="left"/>
      <w:pPr>
        <w:ind w:left="4320" w:hanging="360"/>
      </w:pPr>
    </w:lvl>
    <w:lvl w:ilvl="6" w:tplc="E2BE5802">
      <w:start w:val="1"/>
      <w:numFmt w:val="bullet"/>
      <w:lvlText w:val="●"/>
      <w:lvlJc w:val="left"/>
      <w:pPr>
        <w:ind w:left="5040" w:hanging="360"/>
      </w:pPr>
    </w:lvl>
    <w:lvl w:ilvl="7" w:tplc="DAE8B098">
      <w:start w:val="1"/>
      <w:numFmt w:val="bullet"/>
      <w:lvlText w:val="●"/>
      <w:lvlJc w:val="left"/>
      <w:pPr>
        <w:ind w:left="5760" w:hanging="360"/>
      </w:pPr>
    </w:lvl>
    <w:lvl w:ilvl="8" w:tplc="2E6648BA">
      <w:start w:val="1"/>
      <w:numFmt w:val="bullet"/>
      <w:lvlText w:val="●"/>
      <w:lvlJc w:val="left"/>
      <w:pPr>
        <w:ind w:left="6480" w:hanging="360"/>
      </w:pPr>
    </w:lvl>
  </w:abstractNum>
  <w:abstractNum w:abstractNumId="2" w15:restartNumberingAfterBreak="0">
    <w:nsid w:val="49A87111"/>
    <w:multiLevelType w:val="hybridMultilevel"/>
    <w:tmpl w:val="D06C744E"/>
    <w:lvl w:ilvl="0" w:tplc="5DBEBA52">
      <w:start w:val="1"/>
      <w:numFmt w:val="bullet"/>
      <w:lvlText w:val="•"/>
      <w:lvlJc w:val="left"/>
      <w:pPr>
        <w:ind w:left="720" w:hanging="360"/>
      </w:pPr>
    </w:lvl>
    <w:lvl w:ilvl="1" w:tplc="81F07C20">
      <w:numFmt w:val="decimal"/>
      <w:lvlText w:val=""/>
      <w:lvlJc w:val="left"/>
    </w:lvl>
    <w:lvl w:ilvl="2" w:tplc="69F416BC">
      <w:numFmt w:val="decimal"/>
      <w:lvlText w:val=""/>
      <w:lvlJc w:val="left"/>
    </w:lvl>
    <w:lvl w:ilvl="3" w:tplc="7EC6F6D6">
      <w:numFmt w:val="decimal"/>
      <w:lvlText w:val=""/>
      <w:lvlJc w:val="left"/>
    </w:lvl>
    <w:lvl w:ilvl="4" w:tplc="F606FC42">
      <w:numFmt w:val="decimal"/>
      <w:lvlText w:val=""/>
      <w:lvlJc w:val="left"/>
    </w:lvl>
    <w:lvl w:ilvl="5" w:tplc="13528EE6">
      <w:numFmt w:val="decimal"/>
      <w:lvlText w:val=""/>
      <w:lvlJc w:val="left"/>
    </w:lvl>
    <w:lvl w:ilvl="6" w:tplc="ACCC9E64">
      <w:numFmt w:val="decimal"/>
      <w:lvlText w:val=""/>
      <w:lvlJc w:val="left"/>
    </w:lvl>
    <w:lvl w:ilvl="7" w:tplc="0C987312">
      <w:numFmt w:val="decimal"/>
      <w:lvlText w:val=""/>
      <w:lvlJc w:val="left"/>
    </w:lvl>
    <w:lvl w:ilvl="8" w:tplc="15FE1B86">
      <w:numFmt w:val="decimal"/>
      <w:lvlText w:val=""/>
      <w:lvlJc w:val="left"/>
    </w:lvl>
  </w:abstractNum>
  <w:num w:numId="1" w16cid:durableId="208880323">
    <w:abstractNumId w:val="1"/>
    <w:lvlOverride w:ilvl="0">
      <w:startOverride w:val="1"/>
    </w:lvlOverride>
  </w:num>
  <w:num w:numId="2" w16cid:durableId="768231505">
    <w:abstractNumId w:val="0"/>
    <w:lvlOverride w:ilvl="0">
      <w:startOverride w:val="1"/>
    </w:lvlOverride>
  </w:num>
  <w:num w:numId="3" w16cid:durableId="13421991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64F"/>
    <w:rsid w:val="003974AE"/>
    <w:rsid w:val="00A12002"/>
    <w:rsid w:val="00B02C7A"/>
    <w:rsid w:val="00B7164F"/>
    <w:rsid w:val="00E83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648E9E"/>
  <w15:docId w15:val="{7903217B-B3D3-B843-B533-712E5D7A4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5A3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Georgia" w:eastAsia="Georgia" w:hAnsi="Georgia" w:cs="Georgia"/>
      <w:b/>
      <w:bCs/>
      <w:color w:val="1A2E1A"/>
      <w:sz w:val="36"/>
      <w:szCs w:val="36"/>
    </w:rPr>
  </w:style>
  <w:style w:type="paragraph" w:styleId="Heading2">
    <w:name w:val="heading 2"/>
    <w:uiPriority w:val="9"/>
    <w:unhideWhenUsed/>
    <w:qFormat/>
    <w:pPr>
      <w:spacing w:before="280" w:after="100"/>
      <w:outlineLvl w:val="1"/>
    </w:pPr>
    <w:rPr>
      <w:rFonts w:ascii="Georgia" w:eastAsia="Georgia" w:hAnsi="Georgia" w:cs="Georgia"/>
      <w:b/>
      <w:bCs/>
      <w:color w:val="5C7A4E"/>
      <w:sz w:val="26"/>
      <w:szCs w:val="26"/>
    </w:rPr>
  </w:style>
  <w:style w:type="paragraph" w:styleId="Heading3">
    <w:name w:val="heading 3"/>
    <w:uiPriority w:val="9"/>
    <w:semiHidden/>
    <w:unhideWhenUsed/>
    <w:qFormat/>
    <w:pPr>
      <w:spacing w:before="200" w:after="80"/>
      <w:outlineLvl w:val="2"/>
    </w:pPr>
    <w:rPr>
      <w:b/>
      <w:bCs/>
      <w:color w:val="1A2E1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990</Words>
  <Characters>6693</Characters>
  <Application>Microsoft Office Word</Application>
  <DocSecurity>0</DocSecurity>
  <Lines>139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Aerwin Apollo Perez</cp:lastModifiedBy>
  <cp:revision>2</cp:revision>
  <dcterms:created xsi:type="dcterms:W3CDTF">2026-05-18T03:33:00Z</dcterms:created>
  <dcterms:modified xsi:type="dcterms:W3CDTF">2026-05-18T04:50:00Z</dcterms:modified>
</cp:coreProperties>
</file>