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540" w:val="clear"/>
            <w:tcMar>
              <w:top w:type="dxa" w:w="120"/>
              <w:left w:type="dxa" w:w="180"/>
              <w:bottom w:type="dxa" w:w="120"/>
              <w:right w:type="dxa" w:w="180"/>
            </w:tcMar>
          </w:tcPr>
          <w:p>
            <w:r>
              <w:rPr>
                <w:rFonts w:ascii="Arial" w:cs="Arial" w:eastAsia="Arial" w:hAnsi="Arial"/>
                <w:b/>
                <w:bCs/>
                <w:color w:val="FFFFFF"/>
                <w:sz w:val="22"/>
                <w:szCs w:val="22"/>
              </w:rPr>
              <w:t xml:space="preserve">AESOP AI ACADEMY — CURRICULUM REDESIGN PLAN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9933A" w:val="clear"/>
            <w:tcMar>
              <w:top w:type="dxa" w:w="120"/>
              <w:left w:type="dxa" w:w="180"/>
              <w:bottom w:type="dxa" w:w="120"/>
              <w:right w:type="dxa" w:w="180"/>
            </w:tcMar>
          </w:tcPr>
          <w:p>
            <w:r>
              <w:rPr>
                <w:rFonts w:ascii="Arial" w:cs="Arial" w:eastAsia="Arial" w:hAnsi="Arial"/>
                <w:b/>
                <w:bCs/>
                <w:color w:val="0A0F1A"/>
                <w:sz w:val="22"/>
                <w:szCs w:val="22"/>
              </w:rPr>
              <w:t xml:space="preserve">PlayAGame.ai™  |  AI Academy for Youth  |  Ages 5–18</w:t>
            </w:r>
          </w:p>
        </w:tc>
      </w:tr>
    </w:tbl>
    <w:p>
      <w:pPr>
        <w:spacing w:after="0" w:before="240"/>
      </w:pPr>
      <w:r>
        <w:t xml:space="preserve"/>
      </w:r>
    </w:p>
    <w:p>
      <w:pPr>
        <w:pStyle w:val="Heading1"/>
        <w:spacing w:after="120" w:before="320"/>
      </w:pPr>
      <w:r>
        <w:rPr>
          <w:rFonts w:ascii="Arial" w:cs="Arial" w:eastAsia="Arial" w:hAnsi="Arial"/>
          <w:b/>
          <w:bCs/>
          <w:color w:val="000000"/>
          <w:sz w:val="40"/>
          <w:szCs w:val="40"/>
        </w:rPr>
        <w:t xml:space="preserve">Overview &amp; Design Philosophy</w:t>
      </w:r>
    </w:p>
    <w:p>
      <w:pPr>
        <w:spacing w:after="120" w:before="60"/>
      </w:pPr>
      <w:r>
        <w:rPr>
          <w:rFonts w:ascii="Arial" w:cs="Arial" w:eastAsia="Arial" w:hAnsi="Arial"/>
          <w:sz w:val="22"/>
          <w:szCs w:val="22"/>
        </w:rPr>
        <w:t xml:space="preserve">This document defines the architecture for a complete rebuild of the AESOP AI Academy curriculum. The current implementation treats each age group as an independent track. The redesign establishes a MASTER CONTENT SET at the 16–18 level — containing the full, complete, authoritative version of every topic — from which all younger age groups draw a subset, delivered in an age-appropriate way.</w:t>
      </w:r>
    </w:p>
    <w:p>
      <w:pPr>
        <w:spacing w:after="0" w:before="40"/>
      </w:pPr>
      <w:r>
        <w:t xml:space="preserve"/>
      </w:r>
    </w:p>
    <w:p>
      <w:pPr>
        <w:spacing w:after="120" w:before="60"/>
      </w:pPr>
      <w:r>
        <w:rPr>
          <w:rFonts w:ascii="Arial" w:cs="Arial" w:eastAsia="Arial" w:hAnsi="Arial"/>
          <w:b/>
          <w:bCs/>
          <w:sz w:val="22"/>
          <w:szCs w:val="22"/>
        </w:rPr>
        <w:t xml:space="preserve">The five topic modules remain constant across all age groups:</w:t>
      </w:r>
    </w:p>
    <w:p>
      <w:pPr>
        <w:spacing w:after="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  What AI Is</w:t>
      </w:r>
    </w:p>
    <w:p>
      <w:pPr>
        <w:pStyle w:val="ListParagraph"/>
        <w:numPr>
          <w:ilvl w:val="0"/>
          <w:numId w:val="2"/>
        </w:numPr>
        <w:spacing w:after="40" w:before="40"/>
      </w:pPr>
      <w:r>
        <w:rPr>
          <w:rFonts w:ascii="Arial" w:cs="Arial" w:eastAsia="Arial" w:hAnsi="Arial"/>
          <w:b w:val="false"/>
          <w:bCs w:val="false"/>
          <w:sz w:val="22"/>
          <w:szCs w:val="22"/>
        </w:rPr>
        <w:t xml:space="preserve">🛡️  AI Safety &amp; Ethics</w:t>
      </w:r>
    </w:p>
    <w:p>
      <w:pPr>
        <w:pStyle w:val="ListParagraph"/>
        <w:numPr>
          <w:ilvl w:val="0"/>
          <w:numId w:val="2"/>
        </w:numPr>
        <w:spacing w:after="40" w:before="40"/>
      </w:pPr>
      <w:r>
        <w:rPr>
          <w:rFonts w:ascii="Arial" w:cs="Arial" w:eastAsia="Arial" w:hAnsi="Arial"/>
          <w:b w:val="false"/>
          <w:bCs w:val="false"/>
          <w:sz w:val="22"/>
          <w:szCs w:val="22"/>
        </w:rPr>
        <w:t xml:space="preserve">⚖️  Using AI Responsibly</w:t>
      </w:r>
    </w:p>
    <w:p>
      <w:pPr>
        <w:pStyle w:val="ListParagraph"/>
        <w:numPr>
          <w:ilvl w:val="0"/>
          <w:numId w:val="2"/>
        </w:numPr>
        <w:spacing w:after="40" w:before="40"/>
      </w:pPr>
      <w:r>
        <w:rPr>
          <w:rFonts w:ascii="Arial" w:cs="Arial" w:eastAsia="Arial" w:hAnsi="Arial"/>
          <w:b w:val="false"/>
          <w:bCs w:val="false"/>
          <w:sz w:val="22"/>
          <w:szCs w:val="22"/>
        </w:rPr>
        <w:t xml:space="preserve">📖  AI in Storytelling &amp; Creativity</w:t>
      </w:r>
    </w:p>
    <w:p>
      <w:pPr>
        <w:pStyle w:val="ListParagraph"/>
        <w:numPr>
          <w:ilvl w:val="0"/>
          <w:numId w:val="2"/>
        </w:numPr>
        <w:spacing w:after="40" w:before="40"/>
      </w:pPr>
      <w:r>
        <w:rPr>
          <w:rFonts w:ascii="Arial" w:cs="Arial" w:eastAsia="Arial" w:hAnsi="Arial"/>
          <w:b w:val="false"/>
          <w:bCs w:val="false"/>
          <w:sz w:val="22"/>
          <w:szCs w:val="22"/>
        </w:rPr>
        <w:t xml:space="preserve">💼  Careers in AI</w:t>
      </w:r>
    </w:p>
    <w:p>
      <w:pPr>
        <w:spacing w:after="0" w:before="80"/>
      </w:pPr>
      <w:r>
        <w:t xml:space="preserve"/>
      </w:r>
    </w:p>
    <w:p>
      <w:pPr>
        <w:spacing w:after="120" w:before="60"/>
      </w:pPr>
      <w:r>
        <w:rPr>
          <w:rFonts w:ascii="Arial" w:cs="Arial" w:eastAsia="Arial" w:hAnsi="Arial"/>
          <w:b/>
          <w:bCs/>
          <w:sz w:val="22"/>
          <w:szCs w:val="22"/>
        </w:rPr>
        <w:t xml:space="preserve">The six age groups, from most to least advanced:</w:t>
      </w:r>
    </w:p>
    <w:p>
      <w:pPr>
        <w:spacing w:after="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  Ages 16–18</w:t>
      </w:r>
    </w:p>
    <w:p>
      <w:pPr>
        <w:pStyle w:val="ListParagraph"/>
        <w:numPr>
          <w:ilvl w:val="0"/>
          <w:numId w:val="2"/>
        </w:numPr>
        <w:spacing w:after="40" w:before="40"/>
      </w:pPr>
      <w:r>
        <w:rPr>
          <w:rFonts w:ascii="Arial" w:cs="Arial" w:eastAsia="Arial" w:hAnsi="Arial"/>
          <w:b w:val="false"/>
          <w:bCs w:val="false"/>
          <w:sz w:val="22"/>
          <w:szCs w:val="22"/>
        </w:rPr>
        <w:t xml:space="preserve">🔥  Ages 13–15</w:t>
      </w:r>
    </w:p>
    <w:p>
      <w:pPr>
        <w:pStyle w:val="ListParagraph"/>
        <w:numPr>
          <w:ilvl w:val="0"/>
          <w:numId w:val="2"/>
        </w:numPr>
        <w:spacing w:after="40" w:before="40"/>
      </w:pPr>
      <w:r>
        <w:rPr>
          <w:rFonts w:ascii="Arial" w:cs="Arial" w:eastAsia="Arial" w:hAnsi="Arial"/>
          <w:b w:val="false"/>
          <w:bCs w:val="false"/>
          <w:sz w:val="22"/>
          <w:szCs w:val="22"/>
        </w:rPr>
        <w:t xml:space="preserve">🔬  Ages 11–12</w:t>
      </w:r>
    </w:p>
    <w:p>
      <w:pPr>
        <w:pStyle w:val="ListParagraph"/>
        <w:numPr>
          <w:ilvl w:val="0"/>
          <w:numId w:val="2"/>
        </w:numPr>
        <w:spacing w:after="40" w:before="40"/>
      </w:pPr>
      <w:r>
        <w:rPr>
          <w:rFonts w:ascii="Arial" w:cs="Arial" w:eastAsia="Arial" w:hAnsi="Arial"/>
          <w:b w:val="false"/>
          <w:bCs w:val="false"/>
          <w:sz w:val="22"/>
          <w:szCs w:val="22"/>
        </w:rPr>
        <w:t xml:space="preserve">🚀  Ages 9–10</w:t>
      </w:r>
    </w:p>
    <w:p>
      <w:pPr>
        <w:pStyle w:val="ListParagraph"/>
        <w:numPr>
          <w:ilvl w:val="0"/>
          <w:numId w:val="2"/>
        </w:numPr>
        <w:spacing w:after="40" w:before="40"/>
      </w:pPr>
      <w:r>
        <w:rPr>
          <w:rFonts w:ascii="Arial" w:cs="Arial" w:eastAsia="Arial" w:hAnsi="Arial"/>
          <w:b w:val="false"/>
          <w:bCs w:val="false"/>
          <w:sz w:val="22"/>
          <w:szCs w:val="22"/>
        </w:rPr>
        <w:t xml:space="preserve">⭐  Ages 7–8</w:t>
      </w:r>
    </w:p>
    <w:p>
      <w:pPr>
        <w:pStyle w:val="ListParagraph"/>
        <w:numPr>
          <w:ilvl w:val="0"/>
          <w:numId w:val="2"/>
        </w:numPr>
        <w:spacing w:after="40" w:before="40"/>
      </w:pPr>
      <w:r>
        <w:rPr>
          <w:rFonts w:ascii="Arial" w:cs="Arial" w:eastAsia="Arial" w:hAnsi="Arial"/>
          <w:b w:val="false"/>
          <w:bCs w:val="false"/>
          <w:sz w:val="22"/>
          <w:szCs w:val="22"/>
        </w:rPr>
        <w:t xml:space="preserve">🌱  Ages 5–6</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000000"/>
          <w:sz w:val="40"/>
          <w:szCs w:val="40"/>
        </w:rPr>
        <w:t xml:space="preserve">Core Design Principles</w:t>
      </w:r>
    </w:p>
    <w:p>
      <w:pPr>
        <w:pStyle w:val="Heading2"/>
        <w:spacing w:after="120" w:before="320"/>
      </w:pPr>
      <w:r>
        <w:rPr>
          <w:rFonts w:ascii="Arial" w:cs="Arial" w:eastAsia="Arial" w:hAnsi="Arial"/>
          <w:b/>
          <w:bCs/>
          <w:color w:val="000000"/>
          <w:sz w:val="32"/>
          <w:szCs w:val="32"/>
        </w:rPr>
        <w:t xml:space="preserve">1. Master-First Architecture</w:t>
      </w:r>
    </w:p>
    <w:p>
      <w:pPr>
        <w:spacing w:after="120" w:before="60"/>
      </w:pPr>
      <w:r>
        <w:rPr>
          <w:rFonts w:ascii="Arial" w:cs="Arial" w:eastAsia="Arial" w:hAnsi="Arial"/>
          <w:sz w:val="22"/>
          <w:szCs w:val="22"/>
        </w:rPr>
        <w:t xml:space="preserve">The 16–18 content is the complete, unabridged version of every concept. All other age groups are a curated subset — never introducing concepts that aren't also present in the master, but presenting them with simplified language, relatable analogies, and age-appropriate activities.</w:t>
      </w:r>
    </w:p>
    <w:p>
      <w:pPr>
        <w:pStyle w:val="Heading2"/>
        <w:spacing w:after="120" w:before="320"/>
      </w:pPr>
      <w:r>
        <w:rPr>
          <w:rFonts w:ascii="Arial" w:cs="Arial" w:eastAsia="Arial" w:hAnsi="Arial"/>
          <w:b/>
          <w:bCs/>
          <w:color w:val="000000"/>
          <w:sz w:val="32"/>
          <w:szCs w:val="32"/>
        </w:rPr>
        <w:t xml:space="preserve">2. Subset, Not Simplification</w:t>
      </w:r>
    </w:p>
    <w:p>
      <w:pPr>
        <w:spacing w:after="120" w:before="60"/>
      </w:pPr>
      <w:r>
        <w:rPr>
          <w:rFonts w:ascii="Arial" w:cs="Arial" w:eastAsia="Arial" w:hAnsi="Arial"/>
          <w:sz w:val="22"/>
          <w:szCs w:val="22"/>
        </w:rPr>
        <w:t xml:space="preserve">Younger age groups do not receive a 'dumbed down' version — they receive a smaller number of the same concepts, delivered through a different pedagogical lens. The concepts themselves are real and accurate at every level.</w:t>
      </w:r>
    </w:p>
    <w:p>
      <w:pPr>
        <w:pStyle w:val="Heading2"/>
        <w:spacing w:after="120" w:before="320"/>
      </w:pPr>
      <w:r>
        <w:rPr>
          <w:rFonts w:ascii="Arial" w:cs="Arial" w:eastAsia="Arial" w:hAnsi="Arial"/>
          <w:b/>
          <w:bCs/>
          <w:color w:val="000000"/>
          <w:sz w:val="32"/>
          <w:szCs w:val="32"/>
        </w:rPr>
        <w:t xml:space="preserve">3. Delivery Transformation</w:t>
      </w:r>
    </w:p>
    <w:p>
      <w:pPr>
        <w:spacing w:after="120" w:before="60"/>
      </w:pPr>
      <w:r>
        <w:rPr>
          <w:rFonts w:ascii="Arial" w:cs="Arial" w:eastAsia="Arial" w:hAnsi="Arial"/>
          <w:sz w:val="22"/>
          <w:szCs w:val="22"/>
        </w:rPr>
        <w:t xml:space="preserve">The same concept (e.g., 'AI learns from data') is expressed differently at each level:</w:t>
      </w:r>
    </w:p>
    <w:p>
      <w:pPr>
        <w:pStyle w:val="ListParagraph"/>
        <w:numPr>
          <w:ilvl w:val="0"/>
          <w:numId w:val="2"/>
        </w:numPr>
        <w:spacing w:after="40" w:before="40"/>
      </w:pPr>
      <w:r>
        <w:rPr>
          <w:rFonts w:ascii="Arial" w:cs="Arial" w:eastAsia="Arial" w:hAnsi="Arial"/>
          <w:b w:val="false"/>
          <w:bCs w:val="false"/>
          <w:sz w:val="22"/>
          <w:szCs w:val="22"/>
        </w:rPr>
        <w:t xml:space="preserve">16–18: Training data quality, distribution shift, RLHF feedback loops</w:t>
      </w:r>
    </w:p>
    <w:p>
      <w:pPr>
        <w:pStyle w:val="ListParagraph"/>
        <w:numPr>
          <w:ilvl w:val="0"/>
          <w:numId w:val="2"/>
        </w:numPr>
        <w:spacing w:after="40" w:before="40"/>
      </w:pPr>
      <w:r>
        <w:rPr>
          <w:rFonts w:ascii="Arial" w:cs="Arial" w:eastAsia="Arial" w:hAnsi="Arial"/>
          <w:b w:val="false"/>
          <w:bCs w:val="false"/>
          <w:sz w:val="22"/>
          <w:szCs w:val="22"/>
        </w:rPr>
        <w:t xml:space="preserve">13–15: Why better data = better AI, applied examples</w:t>
      </w:r>
    </w:p>
    <w:p>
      <w:pPr>
        <w:pStyle w:val="ListParagraph"/>
        <w:numPr>
          <w:ilvl w:val="0"/>
          <w:numId w:val="2"/>
        </w:numPr>
        <w:spacing w:after="40" w:before="40"/>
      </w:pPr>
      <w:r>
        <w:rPr>
          <w:rFonts w:ascii="Arial" w:cs="Arial" w:eastAsia="Arial" w:hAnsi="Arial"/>
          <w:b w:val="false"/>
          <w:bCs w:val="false"/>
          <w:sz w:val="22"/>
          <w:szCs w:val="22"/>
        </w:rPr>
        <w:t xml:space="preserve">11–12: Data shapes AI behavior, real consequences of bad data</w:t>
      </w:r>
    </w:p>
    <w:p>
      <w:pPr>
        <w:pStyle w:val="ListParagraph"/>
        <w:numPr>
          <w:ilvl w:val="0"/>
          <w:numId w:val="2"/>
        </w:numPr>
        <w:spacing w:after="40" w:before="40"/>
      </w:pPr>
      <w:r>
        <w:rPr>
          <w:rFonts w:ascii="Arial" w:cs="Arial" w:eastAsia="Arial" w:hAnsi="Arial"/>
          <w:b w:val="false"/>
          <w:bCs w:val="false"/>
          <w:sz w:val="22"/>
          <w:szCs w:val="22"/>
        </w:rPr>
        <w:t xml:space="preserve">9–10: Garbage in, garbage out — experiment with examples</w:t>
      </w:r>
    </w:p>
    <w:p>
      <w:pPr>
        <w:pStyle w:val="ListParagraph"/>
        <w:numPr>
          <w:ilvl w:val="0"/>
          <w:numId w:val="2"/>
        </w:numPr>
        <w:spacing w:after="40" w:before="40"/>
      </w:pPr>
      <w:r>
        <w:rPr>
          <w:rFonts w:ascii="Arial" w:cs="Arial" w:eastAsia="Arial" w:hAnsi="Arial"/>
          <w:b w:val="false"/>
          <w:bCs w:val="false"/>
          <w:sz w:val="22"/>
          <w:szCs w:val="22"/>
        </w:rPr>
        <w:t xml:space="preserve">7–8: Pattern game — sort 100 examples, see what the 'brain' learns</w:t>
      </w:r>
    </w:p>
    <w:p>
      <w:pPr>
        <w:pStyle w:val="ListParagraph"/>
        <w:numPr>
          <w:ilvl w:val="0"/>
          <w:numId w:val="2"/>
        </w:numPr>
        <w:spacing w:after="40" w:before="40"/>
      </w:pPr>
      <w:r>
        <w:rPr>
          <w:rFonts w:ascii="Arial" w:cs="Arial" w:eastAsia="Arial" w:hAnsi="Arial"/>
          <w:b w:val="false"/>
          <w:bCs w:val="false"/>
          <w:sz w:val="22"/>
          <w:szCs w:val="22"/>
        </w:rPr>
        <w:t xml:space="preserve">5–6: 'If you read 10,000 books about cats, you'd know everything about cats'</w:t>
      </w:r>
    </w:p>
    <w:p>
      <w:pPr>
        <w:pStyle w:val="Heading2"/>
        <w:spacing w:after="120" w:before="320"/>
      </w:pPr>
      <w:r>
        <w:rPr>
          <w:rFonts w:ascii="Arial" w:cs="Arial" w:eastAsia="Arial" w:hAnsi="Arial"/>
          <w:b/>
          <w:bCs/>
          <w:color w:val="000000"/>
          <w:sz w:val="32"/>
          <w:szCs w:val="32"/>
        </w:rPr>
        <w:t xml:space="preserve">4. Progressive Depth, Not Progressive Content</w:t>
      </w:r>
    </w:p>
    <w:p>
      <w:pPr>
        <w:spacing w:after="120" w:before="60"/>
      </w:pPr>
      <w:r>
        <w:rPr>
          <w:rFonts w:ascii="Arial" w:cs="Arial" w:eastAsia="Arial" w:hAnsi="Arial"/>
          <w:sz w:val="22"/>
          <w:szCs w:val="22"/>
        </w:rPr>
        <w:t xml:space="preserve">A child who goes through all six levels should feel they understood the concept at every age — not that they were told different things. Each level should feel complete and satisfying on its own while building toward the next.</w:t>
      </w:r>
    </w:p>
    <w:p>
      <w:pPr>
        <w:pStyle w:val="Heading2"/>
        <w:spacing w:after="120" w:before="320"/>
      </w:pPr>
      <w:r>
        <w:rPr>
          <w:rFonts w:ascii="Arial" w:cs="Arial" w:eastAsia="Arial" w:hAnsi="Arial"/>
          <w:b/>
          <w:bCs/>
          <w:color w:val="000000"/>
          <w:sz w:val="32"/>
          <w:szCs w:val="32"/>
        </w:rPr>
        <w:t xml:space="preserve">5. Activity-First for Younger Ages</w:t>
      </w:r>
    </w:p>
    <w:p>
      <w:pPr>
        <w:spacing w:after="120" w:before="60"/>
      </w:pPr>
      <w:r>
        <w:rPr>
          <w:rFonts w:ascii="Arial" w:cs="Arial" w:eastAsia="Arial" w:hAnsi="Arial"/>
          <w:sz w:val="22"/>
          <w:szCs w:val="22"/>
        </w:rPr>
        <w:t xml:space="preserve">Ages 5–10 are led by activities and experiences, with concepts explained through what they just did. Ages 11–15 mix concept-first with activities. Ages 16–18 are concept-led with activities as application.</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000000"/>
          <w:sz w:val="40"/>
          <w:szCs w:val="40"/>
        </w:rPr>
        <w:t xml:space="preserve">Module Plans — All Five Topics</w:t>
      </w:r>
    </w:p>
    <w:p>
      <w:pPr>
        <w:spacing w:after="120" w:before="60"/>
      </w:pPr>
      <w:r>
        <w:rPr>
          <w:rFonts w:ascii="Arial" w:cs="Arial" w:eastAsia="Arial" w:hAnsi="Arial"/>
          <w:sz w:val="22"/>
          <w:szCs w:val="22"/>
        </w:rPr>
        <w:t xml:space="preserve">Each module section below shows: (1) the complete Master Content Set, then (2) a table showing what subset each age group covers and how it is delivered.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20"/>
              <w:left w:type="dxa" w:w="180"/>
              <w:bottom w:type="dxa" w:w="120"/>
              <w:right w:type="dxa" w:w="180"/>
            </w:tcMar>
          </w:tcPr>
          <w:p>
            <w:r>
              <w:rPr>
                <w:rFonts w:ascii="Arial" w:cs="Arial" w:eastAsia="Arial" w:hAnsi="Arial"/>
                <w:b/>
                <w:bCs/>
                <w:color w:val="FFFFFF"/>
                <w:sz w:val="22"/>
                <w:szCs w:val="22"/>
              </w:rPr>
              <w:t xml:space="preserve">MODULE 1  ◆  What AI Is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MASTER CONTENT — Ages 16–18 (Complete Set)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Foundation Models (GPT, Claude, Gemini, Llama) — internet-scale training</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Transformer architecture &amp; attention mechanism (2017 paper)</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Tokens vs. words; context windows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Scaling laws &amp; emergent capabilities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RLHF — Reinforcement Learning from Human Feedback</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Multimodal AI — text, image, audio, video</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RAG — Retrieval-Augmented Generation</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Agents &amp; tool use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Mechanistic interpretability</w:t>
            </w:r>
          </w:p>
        </w:tc>
      </w:tr>
    </w:tbl>
    <w:p>
      <w:pPr>
        <w:spacing w:after="0" w:before="120"/>
      </w:pPr>
      <w:r>
        <w:t xml:space="preserve"/>
      </w:r>
    </w:p>
    <w:p>
      <w:pPr>
        <w:pStyle w:val="Heading3"/>
        <w:spacing w:after="120" w:before="200"/>
      </w:pPr>
      <w:r>
        <w:rPr>
          <w:rFonts w:ascii="Arial" w:cs="Arial" w:eastAsia="Arial" w:hAnsi="Arial"/>
          <w:b/>
          <w:bCs/>
          <w:color w:val="000000"/>
          <w:sz w:val="26"/>
          <w:szCs w:val="26"/>
        </w:rPr>
        <w:t xml:space="preserve">Content &amp; Delivery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Content Covered (Subset of Master)</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Delivery Approach</w:t>
            </w:r>
          </w:p>
        </w:tc>
      </w:tr>
      <w:tr>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16–18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concepts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Technical depth — read research papers, architecture diagrams, primary sources</w:t>
            </w:r>
          </w:p>
        </w:tc>
      </w:tr>
      <w:tr>
        <w:tc>
          <w:tcPr>
            <w:tcW w:type="dxa" w:w="144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D35400"/>
                <w:sz w:val="20"/>
                <w:szCs w:val="20"/>
              </w:rPr>
              <w:t xml:space="preserve">13–15</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Foundation models, context window, RAG, agents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Applied focus — how these systems are actually used; no heavy math</w:t>
            </w:r>
          </w:p>
        </w:tc>
      </w:tr>
      <w:tr>
        <w:tc>
          <w:tcPr>
            <w:tcW w:type="dxa" w:w="144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7D3C98"/>
                <w:sz w:val="20"/>
                <w:szCs w:val="20"/>
              </w:rPr>
              <w:t xml:space="preserve">11–12</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Neural networks, training data, LLMs predict next word, data quality</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Conceptual — analogies and diagrams; introduce correct vocabulary</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9–10</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Algorithms, neural networks, data quality, how LLMs generate text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Exploratory — experiments, 'what happens if' questions, relatable examples</w:t>
            </w:r>
          </w:p>
        </w:tc>
      </w:tr>
      <w:tr>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7770D"/>
                <w:sz w:val="20"/>
                <w:szCs w:val="20"/>
              </w:rPr>
              <w:t xml:space="preserve">7–8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Pattern recognition, machine learning, training data concept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Hands-on analogy games — sort pictures, spot patterns; no jargon</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5–6</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 is a helper that learned from examples; AI is everywhere</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Story and metaphor only — 'if you read 10,000 books about cats' level</w:t>
            </w:r>
          </w:p>
        </w:tc>
      </w:tr>
    </w:tbl>
    <w:p>
      <w:pPr>
        <w:spacing w:after="0" w:before="80"/>
      </w:pPr>
      <w:r>
        <w:t xml:space="preserve"/>
      </w:r>
    </w:p>
    <w:p>
      <w:pPr>
        <w:pStyle w:val="Heading4"/>
        <w:spacing w:after="120" w:before="200"/>
      </w:pPr>
      <w:r>
        <w:rPr>
          <w:rFonts w:ascii="Arial" w:cs="Arial" w:eastAsia="Arial" w:hAnsi="Arial"/>
          <w:b/>
          <w:bCs/>
          <w:color w:val="000000"/>
          <w:sz w:val="22"/>
          <w:szCs w:val="22"/>
        </w:rPr>
        <w:t xml:space="preserve">Build Notes — What AI Is</w:t>
      </w:r>
    </w:p>
    <w:p>
      <w:pPr>
        <w:pStyle w:val="ListParagraph"/>
        <w:numPr>
          <w:ilvl w:val="0"/>
          <w:numId w:val="2"/>
        </w:numPr>
        <w:spacing w:after="40" w:before="40"/>
      </w:pPr>
      <w:r>
        <w:rPr>
          <w:rFonts w:ascii="Arial" w:cs="Arial" w:eastAsia="Arial" w:hAnsi="Arial"/>
          <w:b w:val="false"/>
          <w:bCs w:val="false"/>
          <w:sz w:val="22"/>
          <w:szCs w:val="22"/>
        </w:rPr>
        <w:t xml:space="preserve">16–18: Add links to Transformer paper (arxiv), Anthropic research blog, scaling laws papers</w:t>
      </w:r>
    </w:p>
    <w:p>
      <w:pPr>
        <w:pStyle w:val="ListParagraph"/>
        <w:numPr>
          <w:ilvl w:val="0"/>
          <w:numId w:val="2"/>
        </w:numPr>
        <w:spacing w:after="40" w:before="40"/>
      </w:pPr>
      <w:r>
        <w:rPr>
          <w:rFonts w:ascii="Arial" w:cs="Arial" w:eastAsia="Arial" w:hAnsi="Arial"/>
          <w:b w:val="false"/>
          <w:bCs w:val="false"/>
          <w:sz w:val="22"/>
          <w:szCs w:val="22"/>
        </w:rPr>
        <w:t xml:space="preserve">13–15: Focus on practical 'how does this affect what I can do with AI' framing</w:t>
      </w:r>
    </w:p>
    <w:p>
      <w:pPr>
        <w:pStyle w:val="ListParagraph"/>
        <w:numPr>
          <w:ilvl w:val="0"/>
          <w:numId w:val="2"/>
        </w:numPr>
        <w:spacing w:after="40" w:before="40"/>
      </w:pPr>
      <w:r>
        <w:rPr>
          <w:rFonts w:ascii="Arial" w:cs="Arial" w:eastAsia="Arial" w:hAnsi="Arial"/>
          <w:b w:val="false"/>
          <w:bCs w:val="false"/>
          <w:sz w:val="22"/>
          <w:szCs w:val="22"/>
        </w:rPr>
        <w:t xml:space="preserve">11–12: Introduce vocabulary correctly — neural network, training, model — even if simplified</w:t>
      </w:r>
    </w:p>
    <w:p>
      <w:pPr>
        <w:pStyle w:val="ListParagraph"/>
        <w:numPr>
          <w:ilvl w:val="0"/>
          <w:numId w:val="2"/>
        </w:numPr>
        <w:spacing w:after="40" w:before="40"/>
      </w:pPr>
      <w:r>
        <w:rPr>
          <w:rFonts w:ascii="Arial" w:cs="Arial" w:eastAsia="Arial" w:hAnsi="Arial"/>
          <w:b w:val="false"/>
          <w:bCs w:val="false"/>
          <w:sz w:val="22"/>
          <w:szCs w:val="22"/>
        </w:rPr>
        <w:t xml:space="preserve">9–10: 'What happens if' experiments using actual AI tools with adult supervision</w:t>
      </w:r>
    </w:p>
    <w:p>
      <w:pPr>
        <w:pStyle w:val="ListParagraph"/>
        <w:numPr>
          <w:ilvl w:val="0"/>
          <w:numId w:val="2"/>
        </w:numPr>
        <w:spacing w:after="40" w:before="40"/>
      </w:pPr>
      <w:r>
        <w:rPr>
          <w:rFonts w:ascii="Arial" w:cs="Arial" w:eastAsia="Arial" w:hAnsi="Arial"/>
          <w:b w:val="false"/>
          <w:bCs w:val="false"/>
          <w:sz w:val="22"/>
          <w:szCs w:val="22"/>
        </w:rPr>
        <w:t xml:space="preserve">7–8: Physical sorting/pattern games precede any screen-based content</w:t>
      </w:r>
    </w:p>
    <w:p>
      <w:pPr>
        <w:pStyle w:val="ListParagraph"/>
        <w:numPr>
          <w:ilvl w:val="0"/>
          <w:numId w:val="2"/>
        </w:numPr>
        <w:spacing w:after="40" w:before="40"/>
      </w:pPr>
      <w:r>
        <w:rPr>
          <w:rFonts w:ascii="Arial" w:cs="Arial" w:eastAsia="Arial" w:hAnsi="Arial"/>
          <w:b w:val="false"/>
          <w:bCs w:val="false"/>
          <w:sz w:val="22"/>
          <w:szCs w:val="22"/>
        </w:rPr>
        <w:t xml:space="preserve">5–6: Everything through story, sound, and movement — no jargon at all</w:t>
      </w:r>
    </w:p>
    <w:p>
      <w:pPr>
        <w:pBdr>
          <w:bottom w:val="single" w:color="CCCCC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20"/>
              <w:left w:type="dxa" w:w="180"/>
              <w:bottom w:type="dxa" w:w="120"/>
              <w:right w:type="dxa" w:w="180"/>
            </w:tcMar>
          </w:tcPr>
          <w:p>
            <w:r>
              <w:rPr>
                <w:rFonts w:ascii="Arial" w:cs="Arial" w:eastAsia="Arial" w:hAnsi="Arial"/>
                <w:b/>
                <w:bCs/>
                <w:color w:val="FFFFFF"/>
                <w:sz w:val="22"/>
                <w:szCs w:val="22"/>
              </w:rPr>
              <w:t xml:space="preserve">MODULE 2  ◆  AI Safety &amp; Ethics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MASTER CONTENT — Ages 16–18 (Complete Set)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AI Safety research &amp; alignment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Existential risk debate (Hinton, Bengio)</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Global AI governance — EU AI Act, US EO, China regs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Surveillance, social scoring, behavioral manipulation</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Concentration of AI power</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Deepfakes &amp; synthetic media</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Digital footprint &amp; data brokers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Algorithmic influence &amp; filter bubbles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Radicalization pipelines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Misinformation at scale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Private information protection</w:t>
            </w:r>
          </w:p>
        </w:tc>
      </w:tr>
    </w:tbl>
    <w:p>
      <w:pPr>
        <w:spacing w:after="0" w:before="120"/>
      </w:pPr>
      <w:r>
        <w:t xml:space="preserve"/>
      </w:r>
    </w:p>
    <w:p>
      <w:pPr>
        <w:pStyle w:val="Heading3"/>
        <w:spacing w:after="120" w:before="200"/>
      </w:pPr>
      <w:r>
        <w:rPr>
          <w:rFonts w:ascii="Arial" w:cs="Arial" w:eastAsia="Arial" w:hAnsi="Arial"/>
          <w:b/>
          <w:bCs/>
          <w:color w:val="000000"/>
          <w:sz w:val="26"/>
          <w:szCs w:val="26"/>
        </w:rPr>
        <w:t xml:space="preserve">Content &amp; Delivery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Content Covered (Subset of Master)</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Delivery Approach</w:t>
            </w:r>
          </w:p>
        </w:tc>
      </w:tr>
      <w:tr>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16–18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 especially governance, alignment, power concentration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Policy brief writing; debate formats; primary source analysis</w:t>
            </w:r>
          </w:p>
        </w:tc>
      </w:tr>
      <w:tr>
        <w:tc>
          <w:tcPr>
            <w:tcW w:type="dxa" w:w="144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D35400"/>
                <w:sz w:val="20"/>
                <w:szCs w:val="20"/>
              </w:rPr>
              <w:t xml:space="preserve">13–15</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Algorithmic influence, filter bubbles, data brokers, deepfakes, AI manipulation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Feed audits, real-world case analysis, critical questioning frameworks</w:t>
            </w:r>
          </w:p>
        </w:tc>
      </w:tr>
      <w:tr>
        <w:tc>
          <w:tcPr>
            <w:tcW w:type="dxa" w:w="144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7D3C98"/>
                <w:sz w:val="20"/>
                <w:szCs w:val="20"/>
              </w:rPr>
              <w:t xml:space="preserve">11–12</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Digital footprint, privacy policies, deepfakes, protecting yourself</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Data detective activities; privacy policy treasure hunt; scenario analysis</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9–10</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Data collection, misinformation, deepfakes, protecting personal info</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Source-checking games; 'real or fake?' exercises; trusted sources map</w:t>
            </w:r>
          </w:p>
        </w:tc>
      </w:tr>
      <w:tr>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7770D"/>
                <w:sz w:val="20"/>
                <w:szCs w:val="20"/>
              </w:rPr>
              <w:t xml:space="preserve">7–8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Private information, trusted adults, real vs. fake, kindness online</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Role play scenarios; 'trusted adults' list activity; simple rules</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5–6</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Personal info is private; trusted adults rule; real vs. not real</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Simple rules with visuals; family activity — name your trusted adults</w:t>
            </w:r>
          </w:p>
        </w:tc>
      </w:tr>
    </w:tbl>
    <w:p>
      <w:pPr>
        <w:spacing w:after="0" w:before="80"/>
      </w:pPr>
      <w:r>
        <w:t xml:space="preserve"/>
      </w:r>
    </w:p>
    <w:p>
      <w:pPr>
        <w:pStyle w:val="Heading4"/>
        <w:spacing w:after="120" w:before="200"/>
      </w:pPr>
      <w:r>
        <w:rPr>
          <w:rFonts w:ascii="Arial" w:cs="Arial" w:eastAsia="Arial" w:hAnsi="Arial"/>
          <w:b/>
          <w:bCs/>
          <w:color w:val="000000"/>
          <w:sz w:val="22"/>
          <w:szCs w:val="22"/>
        </w:rPr>
        <w:t xml:space="preserve">Build Notes — Safety &amp; Ethics</w:t>
      </w:r>
    </w:p>
    <w:p>
      <w:pPr>
        <w:pStyle w:val="ListParagraph"/>
        <w:numPr>
          <w:ilvl w:val="0"/>
          <w:numId w:val="2"/>
        </w:numPr>
        <w:spacing w:after="40" w:before="40"/>
      </w:pPr>
      <w:r>
        <w:rPr>
          <w:rFonts w:ascii="Arial" w:cs="Arial" w:eastAsia="Arial" w:hAnsi="Arial"/>
          <w:b w:val="false"/>
          <w:bCs w:val="false"/>
          <w:sz w:val="22"/>
          <w:szCs w:val="22"/>
        </w:rPr>
        <w:t xml:space="preserve">16–18: Primary source analysis — EU AI Act text, executive orders, research papers on alignment</w:t>
      </w:r>
    </w:p>
    <w:p>
      <w:pPr>
        <w:pStyle w:val="ListParagraph"/>
        <w:numPr>
          <w:ilvl w:val="0"/>
          <w:numId w:val="2"/>
        </w:numPr>
        <w:spacing w:after="40" w:before="40"/>
      </w:pPr>
      <w:r>
        <w:rPr>
          <w:rFonts w:ascii="Arial" w:cs="Arial" w:eastAsia="Arial" w:hAnsi="Arial"/>
          <w:b w:val="false"/>
          <w:bCs w:val="false"/>
          <w:sz w:val="22"/>
          <w:szCs w:val="22"/>
        </w:rPr>
        <w:t xml:space="preserve">13–15: Feed audit assignment — analyze their own social media for algorithmic patterns</w:t>
      </w:r>
    </w:p>
    <w:p>
      <w:pPr>
        <w:pStyle w:val="ListParagraph"/>
        <w:numPr>
          <w:ilvl w:val="0"/>
          <w:numId w:val="2"/>
        </w:numPr>
        <w:spacing w:after="40" w:before="40"/>
      </w:pPr>
      <w:r>
        <w:rPr>
          <w:rFonts w:ascii="Arial" w:cs="Arial" w:eastAsia="Arial" w:hAnsi="Arial"/>
          <w:b w:val="false"/>
          <w:bCs w:val="false"/>
          <w:sz w:val="22"/>
          <w:szCs w:val="22"/>
        </w:rPr>
        <w:t xml:space="preserve">11–12: Privacy policy reading assignment — real app their age uses</w:t>
      </w:r>
    </w:p>
    <w:p>
      <w:pPr>
        <w:pStyle w:val="ListParagraph"/>
        <w:numPr>
          <w:ilvl w:val="0"/>
          <w:numId w:val="2"/>
        </w:numPr>
        <w:spacing w:after="40" w:before="40"/>
      </w:pPr>
      <w:r>
        <w:rPr>
          <w:rFonts w:ascii="Arial" w:cs="Arial" w:eastAsia="Arial" w:hAnsi="Arial"/>
          <w:b w:val="false"/>
          <w:bCs w:val="false"/>
          <w:sz w:val="22"/>
          <w:szCs w:val="22"/>
        </w:rPr>
        <w:t xml:space="preserve">9–10: 'Real or fake?' media literacy game using AI-generated vs. real images</w:t>
      </w:r>
    </w:p>
    <w:p>
      <w:pPr>
        <w:pStyle w:val="ListParagraph"/>
        <w:numPr>
          <w:ilvl w:val="0"/>
          <w:numId w:val="2"/>
        </w:numPr>
        <w:spacing w:after="40" w:before="40"/>
      </w:pPr>
      <w:r>
        <w:rPr>
          <w:rFonts w:ascii="Arial" w:cs="Arial" w:eastAsia="Arial" w:hAnsi="Arial"/>
          <w:b w:val="false"/>
          <w:bCs w:val="false"/>
          <w:sz w:val="22"/>
          <w:szCs w:val="22"/>
        </w:rPr>
        <w:t xml:space="preserve">7–8: Role-play: 'A website asks for your address. What do you do?'</w:t>
      </w:r>
    </w:p>
    <w:p>
      <w:pPr>
        <w:pStyle w:val="ListParagraph"/>
        <w:numPr>
          <w:ilvl w:val="0"/>
          <w:numId w:val="2"/>
        </w:numPr>
        <w:spacing w:after="40" w:before="40"/>
      </w:pPr>
      <w:r>
        <w:rPr>
          <w:rFonts w:ascii="Arial" w:cs="Arial" w:eastAsia="Arial" w:hAnsi="Arial"/>
          <w:b w:val="false"/>
          <w:bCs w:val="false"/>
          <w:sz w:val="22"/>
          <w:szCs w:val="22"/>
        </w:rPr>
        <w:t xml:space="preserve">5–6: Trusted Adults List — family activity to complete together</w:t>
      </w:r>
    </w:p>
    <w:p>
      <w:pPr>
        <w:pBdr>
          <w:bottom w:val="single" w:color="CCCCC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20"/>
              <w:left w:type="dxa" w:w="180"/>
              <w:bottom w:type="dxa" w:w="120"/>
              <w:right w:type="dxa" w:w="180"/>
            </w:tcMar>
          </w:tcPr>
          <w:p>
            <w:r>
              <w:rPr>
                <w:rFonts w:ascii="Arial" w:cs="Arial" w:eastAsia="Arial" w:hAnsi="Arial"/>
                <w:b/>
                <w:bCs/>
                <w:color w:val="FFFFFF"/>
                <w:sz w:val="22"/>
                <w:szCs w:val="22"/>
              </w:rPr>
              <w:t xml:space="preserve">MODULE 3  ◆  Using AI Responsibly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MASTER CONTENT — Ages 16–18 (Complete Set)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AI ethics hard dilemmas (trolley problem, authorship, labor)</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Environmental cost of AI (energy, water)</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Long-term economic transformation &amp; job displacement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Concentration of power &amp; antitrust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Academic integrity spectrum</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IP &amp; copyright — evolving legal landscape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Disclosure as emerging professional norm</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Proactive vs. reactive governance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Algorithmic accountability &amp; liability chains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AI bias — real documented cases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Fairness in consequential decisions</w:t>
            </w:r>
          </w:p>
        </w:tc>
      </w:tr>
    </w:tbl>
    <w:p>
      <w:pPr>
        <w:spacing w:after="0" w:before="120"/>
      </w:pPr>
      <w:r>
        <w:t xml:space="preserve"/>
      </w:r>
    </w:p>
    <w:p>
      <w:pPr>
        <w:pStyle w:val="Heading3"/>
        <w:spacing w:after="120" w:before="200"/>
      </w:pPr>
      <w:r>
        <w:rPr>
          <w:rFonts w:ascii="Arial" w:cs="Arial" w:eastAsia="Arial" w:hAnsi="Arial"/>
          <w:b/>
          <w:bCs/>
          <w:color w:val="000000"/>
          <w:sz w:val="26"/>
          <w:szCs w:val="26"/>
        </w:rPr>
        <w:t xml:space="preserve">Content &amp; Delivery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Content Covered (Subset of Master)</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Delivery Approach</w:t>
            </w:r>
          </w:p>
        </w:tc>
      </w:tr>
      <w:tr>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16–18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 especially ethics dilemmas, IP, environmental cost, power concentration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Scenario planning; structured debates; policy proposals; case studies</w:t>
            </w:r>
          </w:p>
        </w:tc>
      </w:tr>
      <w:tr>
        <w:tc>
          <w:tcPr>
            <w:tcW w:type="dxa" w:w="144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D35400"/>
                <w:sz w:val="20"/>
                <w:szCs w:val="20"/>
              </w:rPr>
              <w:t xml:space="preserve">13–15</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Academic integrity spectrum, IP in practice, disclosure norm, environmental cost, bias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Ethics case studies; real incident research; structured argument writing</w:t>
            </w:r>
          </w:p>
        </w:tc>
      </w:tr>
      <w:tr>
        <w:tc>
          <w:tcPr>
            <w:tcW w:type="dxa" w:w="144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7D3C98"/>
                <w:sz w:val="20"/>
                <w:szCs w:val="20"/>
              </w:rPr>
              <w:t xml:space="preserve">11–12</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 bias (real examples), algorithmic accountability, fairness, what YOU can do</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Bias finder activities; role-play accountability scenarios; advocate actions</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9–10</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 bias concept, training data fairness, reporting unfair AI output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Pattern testing with AI tools; 'is this fair?' discussions; feedback loops</w:t>
            </w:r>
          </w:p>
        </w:tc>
      </w:tr>
      <w:tr>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7770D"/>
                <w:sz w:val="20"/>
                <w:szCs w:val="20"/>
              </w:rPr>
              <w:t xml:space="preserve">7–8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Honest use of AI (not submitting AI work as own), AI makes mistakes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Simple honesty scenarios; 'is this mine or AI's?' games; mistake stories</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5–6</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Be kind, be honest, AI learns from us, don't trick AI</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Friendship metaphors; 'what if everyone did this?' circle discussions</w:t>
            </w:r>
          </w:p>
        </w:tc>
      </w:tr>
    </w:tbl>
    <w:p>
      <w:pPr>
        <w:spacing w:after="0" w:before="80"/>
      </w:pPr>
      <w:r>
        <w:t xml:space="preserve"/>
      </w:r>
    </w:p>
    <w:p>
      <w:pPr>
        <w:pStyle w:val="Heading4"/>
        <w:spacing w:after="120" w:before="200"/>
      </w:pPr>
      <w:r>
        <w:rPr>
          <w:rFonts w:ascii="Arial" w:cs="Arial" w:eastAsia="Arial" w:hAnsi="Arial"/>
          <w:b/>
          <w:bCs/>
          <w:color w:val="000000"/>
          <w:sz w:val="22"/>
          <w:szCs w:val="22"/>
        </w:rPr>
        <w:t xml:space="preserve">Build Notes — Responsible Use</w:t>
      </w:r>
    </w:p>
    <w:p>
      <w:pPr>
        <w:pStyle w:val="ListParagraph"/>
        <w:numPr>
          <w:ilvl w:val="0"/>
          <w:numId w:val="2"/>
        </w:numPr>
        <w:spacing w:after="40" w:before="40"/>
      </w:pPr>
      <w:r>
        <w:rPr>
          <w:rFonts w:ascii="Arial" w:cs="Arial" w:eastAsia="Arial" w:hAnsi="Arial"/>
          <w:b w:val="false"/>
          <w:bCs w:val="false"/>
          <w:sz w:val="22"/>
          <w:szCs w:val="22"/>
        </w:rPr>
        <w:t xml:space="preserve">16–18: Structured debate format — IP ownership, labor displacement, trolley problem variants</w:t>
      </w:r>
    </w:p>
    <w:p>
      <w:pPr>
        <w:pStyle w:val="ListParagraph"/>
        <w:numPr>
          <w:ilvl w:val="0"/>
          <w:numId w:val="2"/>
        </w:numPr>
        <w:spacing w:after="40" w:before="40"/>
      </w:pPr>
      <w:r>
        <w:rPr>
          <w:rFonts w:ascii="Arial" w:cs="Arial" w:eastAsia="Arial" w:hAnsi="Arial"/>
          <w:b w:val="false"/>
          <w:bCs w:val="false"/>
          <w:sz w:val="22"/>
          <w:szCs w:val="22"/>
        </w:rPr>
        <w:t xml:space="preserve">13–15: Research a real documented AI harm case — write a structured analysis</w:t>
      </w:r>
    </w:p>
    <w:p>
      <w:pPr>
        <w:pStyle w:val="ListParagraph"/>
        <w:numPr>
          <w:ilvl w:val="0"/>
          <w:numId w:val="2"/>
        </w:numPr>
        <w:spacing w:after="40" w:before="40"/>
      </w:pPr>
      <w:r>
        <w:rPr>
          <w:rFonts w:ascii="Arial" w:cs="Arial" w:eastAsia="Arial" w:hAnsi="Arial"/>
          <w:b w:val="false"/>
          <w:bCs w:val="false"/>
          <w:sz w:val="22"/>
          <w:szCs w:val="22"/>
        </w:rPr>
        <w:t xml:space="preserve">11–12: Bias finder — prompt AI with gendered/racial contexts, document and discuss results</w:t>
      </w:r>
    </w:p>
    <w:p>
      <w:pPr>
        <w:pStyle w:val="ListParagraph"/>
        <w:numPr>
          <w:ilvl w:val="0"/>
          <w:numId w:val="2"/>
        </w:numPr>
        <w:spacing w:after="40" w:before="40"/>
      </w:pPr>
      <w:r>
        <w:rPr>
          <w:rFonts w:ascii="Arial" w:cs="Arial" w:eastAsia="Arial" w:hAnsi="Arial"/>
          <w:b w:val="false"/>
          <w:bCs w:val="false"/>
          <w:sz w:val="22"/>
          <w:szCs w:val="22"/>
        </w:rPr>
        <w:t xml:space="preserve">9–10: 'Is this fair?' group discussion + simple feedback mechanism demonstration</w:t>
      </w:r>
    </w:p>
    <w:p>
      <w:pPr>
        <w:pStyle w:val="ListParagraph"/>
        <w:numPr>
          <w:ilvl w:val="0"/>
          <w:numId w:val="2"/>
        </w:numPr>
        <w:spacing w:after="40" w:before="40"/>
      </w:pPr>
      <w:r>
        <w:rPr>
          <w:rFonts w:ascii="Arial" w:cs="Arial" w:eastAsia="Arial" w:hAnsi="Arial"/>
          <w:b w:val="false"/>
          <w:bCs w:val="false"/>
          <w:sz w:val="22"/>
          <w:szCs w:val="22"/>
        </w:rPr>
        <w:t xml:space="preserve">7–8: 'Is this mine or AI's?' honesty game — who gets credit for different contributions</w:t>
      </w:r>
    </w:p>
    <w:p>
      <w:pPr>
        <w:pStyle w:val="ListParagraph"/>
        <w:numPr>
          <w:ilvl w:val="0"/>
          <w:numId w:val="2"/>
        </w:numPr>
        <w:spacing w:after="40" w:before="40"/>
      </w:pPr>
      <w:r>
        <w:rPr>
          <w:rFonts w:ascii="Arial" w:cs="Arial" w:eastAsia="Arial" w:hAnsi="Arial"/>
          <w:b w:val="false"/>
          <w:bCs w:val="false"/>
          <w:sz w:val="22"/>
          <w:szCs w:val="22"/>
        </w:rPr>
        <w:t xml:space="preserve">5–6: 'What if everyone was mean to AI?' circle discussion — kindness generalization</w:t>
      </w:r>
    </w:p>
    <w:p>
      <w:pPr>
        <w:pBdr>
          <w:bottom w:val="single" w:color="CCCCC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20"/>
              <w:left w:type="dxa" w:w="180"/>
              <w:bottom w:type="dxa" w:w="120"/>
              <w:right w:type="dxa" w:w="180"/>
            </w:tcMar>
          </w:tcPr>
          <w:p>
            <w:r>
              <w:rPr>
                <w:rFonts w:ascii="Arial" w:cs="Arial" w:eastAsia="Arial" w:hAnsi="Arial"/>
                <w:b/>
                <w:bCs/>
                <w:color w:val="FFFFFF"/>
                <w:sz w:val="22"/>
                <w:szCs w:val="22"/>
              </w:rPr>
              <w:t xml:space="preserve">MODULE 4  ◆  AI in Storytelling &amp; Creativity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MASTER CONTENT — Ages 16–18 (Complete Set)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System prompts — writing AI DNA</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Chain of thought prompting</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Few-shot prompting with examples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World bible, character sheets, story bible architecture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Critique frameworks for AI output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Multimodal project orchestration (text + image + audio + video)</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Portfolio documentation strategies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AI system design for narrative products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Red-teaming creative AI systems</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AESOP as a case study</w:t>
            </w:r>
          </w:p>
        </w:tc>
      </w:tr>
    </w:tbl>
    <w:p>
      <w:pPr>
        <w:spacing w:after="0" w:before="120"/>
      </w:pPr>
      <w:r>
        <w:t xml:space="preserve"/>
      </w:r>
    </w:p>
    <w:p>
      <w:pPr>
        <w:pStyle w:val="Heading3"/>
        <w:spacing w:after="120" w:before="200"/>
      </w:pPr>
      <w:r>
        <w:rPr>
          <w:rFonts w:ascii="Arial" w:cs="Arial" w:eastAsia="Arial" w:hAnsi="Arial"/>
          <w:b/>
          <w:bCs/>
          <w:color w:val="000000"/>
          <w:sz w:val="26"/>
          <w:szCs w:val="26"/>
        </w:rPr>
        <w:t xml:space="preserve">Content &amp; Delivery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Content Covered (Subset of Master)</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Delivery Approach</w:t>
            </w:r>
          </w:p>
        </w:tc>
      </w:tr>
      <w:tr>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16–18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 system prompts, full architecture, multimodal, portfolio, red-teaming</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System prompt design doc; multimodal capstone project; AESOP analysis</w:t>
            </w:r>
          </w:p>
        </w:tc>
      </w:tr>
      <w:tr>
        <w:tc>
          <w:tcPr>
            <w:tcW w:type="dxa" w:w="144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D35400"/>
                <w:sz w:val="20"/>
                <w:szCs w:val="20"/>
              </w:rPr>
              <w:t xml:space="preserve">13–15</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Iterative prompting, no-code tool orchestration, prompt templates, portfolio doc</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Multi-round story build; tool workflow mapping; documented capstone project</w:t>
            </w:r>
          </w:p>
        </w:tc>
      </w:tr>
      <w:tr>
        <w:tc>
          <w:tcPr>
            <w:tcW w:type="dxa" w:w="144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7D3C98"/>
                <w:sz w:val="20"/>
                <w:szCs w:val="20"/>
              </w:rPr>
              <w:t xml:space="preserve">11–12</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Iterative prompting, genre/voice, world-building with AI, editing AI output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3-round prompt sequence challenge; world-building sprint; editing workshop</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9–10</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Collaborative storytelling, prompt rounds, world-building brainstorm</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Co-author sessions; 'director' framing; compare weak vs. strong prompts</w:t>
            </w:r>
          </w:p>
        </w:tc>
      </w:tr>
      <w:tr>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7770D"/>
                <w:sz w:val="20"/>
                <w:szCs w:val="20"/>
              </w:rPr>
              <w:t xml:space="preserve">7–8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Prompt formula (who/where/what/how), AI as story partner, you are the author</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Fill-in-the-formula cards; compare short vs. detailed prompt results</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5–6</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You are the author, story ingredients (hero/world/problem/solution)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Oral story-starter activity; draw your hero; AI finishes the story aloud</w:t>
            </w:r>
          </w:p>
        </w:tc>
      </w:tr>
    </w:tbl>
    <w:p>
      <w:pPr>
        <w:spacing w:after="0" w:before="80"/>
      </w:pPr>
      <w:r>
        <w:t xml:space="preserve"/>
      </w:r>
    </w:p>
    <w:p>
      <w:pPr>
        <w:pStyle w:val="Heading4"/>
        <w:spacing w:after="120" w:before="200"/>
      </w:pPr>
      <w:r>
        <w:rPr>
          <w:rFonts w:ascii="Arial" w:cs="Arial" w:eastAsia="Arial" w:hAnsi="Arial"/>
          <w:b/>
          <w:bCs/>
          <w:color w:val="000000"/>
          <w:sz w:val="22"/>
          <w:szCs w:val="22"/>
        </w:rPr>
        <w:t xml:space="preserve">Build Notes — Storytelling &amp; Creativity</w:t>
      </w:r>
    </w:p>
    <w:p>
      <w:pPr>
        <w:pStyle w:val="ListParagraph"/>
        <w:numPr>
          <w:ilvl w:val="0"/>
          <w:numId w:val="2"/>
        </w:numPr>
        <w:spacing w:after="40" w:before="40"/>
      </w:pPr>
      <w:r>
        <w:rPr>
          <w:rFonts w:ascii="Arial" w:cs="Arial" w:eastAsia="Arial" w:hAnsi="Arial"/>
          <w:b w:val="false"/>
          <w:bCs w:val="false"/>
          <w:sz w:val="22"/>
          <w:szCs w:val="22"/>
        </w:rPr>
        <w:t xml:space="preserve">16–18: System prompt design document; AESOP reverse-engineering assignment; multimodal pipeline</w:t>
      </w:r>
    </w:p>
    <w:p>
      <w:pPr>
        <w:pStyle w:val="ListParagraph"/>
        <w:numPr>
          <w:ilvl w:val="0"/>
          <w:numId w:val="2"/>
        </w:numPr>
        <w:spacing w:after="40" w:before="40"/>
      </w:pPr>
      <w:r>
        <w:rPr>
          <w:rFonts w:ascii="Arial" w:cs="Arial" w:eastAsia="Arial" w:hAnsi="Arial"/>
          <w:b w:val="false"/>
          <w:bCs w:val="false"/>
          <w:sz w:val="22"/>
          <w:szCs w:val="22"/>
        </w:rPr>
        <w:t xml:space="preserve">13–15: Documented multi-tool creative project — prompt log + reflection + final output</w:t>
      </w:r>
    </w:p>
    <w:p>
      <w:pPr>
        <w:pStyle w:val="ListParagraph"/>
        <w:numPr>
          <w:ilvl w:val="0"/>
          <w:numId w:val="2"/>
        </w:numPr>
        <w:spacing w:after="40" w:before="40"/>
      </w:pPr>
      <w:r>
        <w:rPr>
          <w:rFonts w:ascii="Arial" w:cs="Arial" w:eastAsia="Arial" w:hAnsi="Arial"/>
          <w:b w:val="false"/>
          <w:bCs w:val="false"/>
          <w:sz w:val="22"/>
          <w:szCs w:val="22"/>
        </w:rPr>
        <w:t xml:space="preserve">11–12: 3-round iterative story challenge with explicit genre, voice, world-building constraints</w:t>
      </w:r>
    </w:p>
    <w:p>
      <w:pPr>
        <w:pStyle w:val="ListParagraph"/>
        <w:numPr>
          <w:ilvl w:val="0"/>
          <w:numId w:val="2"/>
        </w:numPr>
        <w:spacing w:after="40" w:before="40"/>
      </w:pPr>
      <w:r>
        <w:rPr>
          <w:rFonts w:ascii="Arial" w:cs="Arial" w:eastAsia="Arial" w:hAnsi="Arial"/>
          <w:b w:val="false"/>
          <w:bCs w:val="false"/>
          <w:sz w:val="22"/>
          <w:szCs w:val="22"/>
        </w:rPr>
        <w:t xml:space="preserve">9–10: 'You are the director' framing — give AI stage directions, evaluate results</w:t>
      </w:r>
    </w:p>
    <w:p>
      <w:pPr>
        <w:pStyle w:val="ListParagraph"/>
        <w:numPr>
          <w:ilvl w:val="0"/>
          <w:numId w:val="2"/>
        </w:numPr>
        <w:spacing w:after="40" w:before="40"/>
      </w:pPr>
      <w:r>
        <w:rPr>
          <w:rFonts w:ascii="Arial" w:cs="Arial" w:eastAsia="Arial" w:hAnsi="Arial"/>
          <w:b w:val="false"/>
          <w:bCs w:val="false"/>
          <w:sz w:val="22"/>
          <w:szCs w:val="22"/>
        </w:rPr>
        <w:t xml:space="preserve">7–8: Prompt formula card — fill in WHO / WHERE / WHAT / HOW then compare outputs</w:t>
      </w:r>
    </w:p>
    <w:p>
      <w:pPr>
        <w:pStyle w:val="ListParagraph"/>
        <w:numPr>
          <w:ilvl w:val="0"/>
          <w:numId w:val="2"/>
        </w:numPr>
        <w:spacing w:after="40" w:before="40"/>
      </w:pPr>
      <w:r>
        <w:rPr>
          <w:rFonts w:ascii="Arial" w:cs="Arial" w:eastAsia="Arial" w:hAnsi="Arial"/>
          <w:b w:val="false"/>
          <w:bCs w:val="false"/>
          <w:sz w:val="22"/>
          <w:szCs w:val="22"/>
        </w:rPr>
        <w:t xml:space="preserve">5–6: Draw your hero → describe them aloud → AI (with adult) builds the story</w:t>
      </w:r>
    </w:p>
    <w:p>
      <w:pPr>
        <w:pBdr>
          <w:bottom w:val="single" w:color="CCCCCC"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120"/>
              <w:left w:type="dxa" w:w="180"/>
              <w:bottom w:type="dxa" w:w="120"/>
              <w:right w:type="dxa" w:w="180"/>
            </w:tcMar>
          </w:tcPr>
          <w:p>
            <w:r>
              <w:rPr>
                <w:rFonts w:ascii="Arial" w:cs="Arial" w:eastAsia="Arial" w:hAnsi="Arial"/>
                <w:b/>
                <w:bCs/>
                <w:color w:val="FFFFFF"/>
                <w:sz w:val="22"/>
                <w:szCs w:val="22"/>
              </w:rPr>
              <w:t xml:space="preserve">MODULE 5  ◆  Careers in AI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MASTER CONTENT — Ages 16–18 (Complete Set)</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AI ecosystem layers (infrastructure → foundation → apps → enterprise)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Technical pathways (Python, PyTorch, NumPy, Kaggle, fast.ai)</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Non-technical pathways (policy, ethics, PM, UX, educator, communicator)</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Open source contribution &amp; GitHub profile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Cold-email research outreach strategy</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Student programs (CSSI, TEALS, Beaver Works, AI4ALL)</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College AI programs landscape</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Domain expertise + AI fluency = rare combination</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90-day action plans &amp; portfolio building</w:t>
            </w:r>
          </w:p>
        </w:tc>
      </w:tr>
      <w:tr>
        <w:tc>
          <w:tcPr>
            <w:tcW w:type="dxa" w:w="9360"/>
            <w:tcBorders>
              <w:top w:val="single" w:color="CCCCCC" w:sz="1"/>
              <w:left w:val="single" w:color="CCCCCC" w:sz="1"/>
              <w:bottom w:val="single" w:color="CCCCCC" w:sz="1"/>
              <w:right w:val="single" w:color="CCCCCC" w:sz="1"/>
            </w:tcBorders>
            <w:shd w:fill="F0F8F6" w:val="clear"/>
            <w:tcMar>
              <w:top w:type="dxa" w:w="60"/>
              <w:left w:type="dxa" w:w="120"/>
              <w:bottom w:type="dxa" w:w="60"/>
              <w:right w:type="dxa" w:w="120"/>
            </w:tcMar>
          </w:tcPr>
          <w:p>
            <w:r>
              <w:rPr>
                <w:rFonts w:ascii="Arial" w:cs="Arial" w:eastAsia="Arial" w:hAnsi="Arial"/>
                <w:sz w:val="20"/>
                <w:szCs w:val="20"/>
              </w:rPr>
              <w:t xml:space="preserve">◆  AI in medicine, environment, law, education</w:t>
            </w:r>
          </w:p>
        </w:tc>
      </w:tr>
    </w:tbl>
    <w:p>
      <w:pPr>
        <w:spacing w:after="0" w:before="120"/>
      </w:pPr>
      <w:r>
        <w:t xml:space="preserve"/>
      </w:r>
    </w:p>
    <w:p>
      <w:pPr>
        <w:pStyle w:val="Heading3"/>
        <w:spacing w:after="120" w:before="200"/>
      </w:pPr>
      <w:r>
        <w:rPr>
          <w:rFonts w:ascii="Arial" w:cs="Arial" w:eastAsia="Arial" w:hAnsi="Arial"/>
          <w:b/>
          <w:bCs/>
          <w:color w:val="000000"/>
          <w:sz w:val="26"/>
          <w:szCs w:val="26"/>
        </w:rPr>
        <w:t xml:space="preserve">Content &amp; Delivery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Content Covered (Subset of Master)</w:t>
            </w:r>
          </w:p>
        </w:tc>
        <w:tc>
          <w:tcPr>
            <w:tcW w:type="dxa" w:w="3960"/>
            <w:tcBorders>
              <w:top w:val="single" w:color="CCCCCC" w:sz="1"/>
              <w:left w:val="single" w:color="CCCCCC" w:sz="1"/>
              <w:bottom w:val="single" w:color="CCCCCC" w:sz="1"/>
              <w:right w:val="single" w:color="CCCCCC" w:sz="1"/>
            </w:tcBorders>
            <w:shd w:fill="1A2540" w:val="clear"/>
            <w:tcMar>
              <w:top w:type="dxa" w:w="80"/>
              <w:left w:type="dxa" w:w="120"/>
              <w:bottom w:type="dxa" w:w="80"/>
              <w:right w:type="dxa" w:w="120"/>
            </w:tcMar>
          </w:tcPr>
          <w:p>
            <w:r>
              <w:rPr>
                <w:rFonts w:ascii="Arial" w:cs="Arial" w:eastAsia="Arial" w:hAnsi="Arial"/>
                <w:b/>
                <w:bCs/>
                <w:color w:val="FFFFFF"/>
                <w:sz w:val="20"/>
                <w:szCs w:val="20"/>
              </w:rPr>
              <w:t xml:space="preserve">Delivery Approach</w:t>
            </w:r>
          </w:p>
        </w:tc>
      </w:tr>
      <w:tr>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16–18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 full ecosystem map, technical + non-technical paths, programs, 90-day plan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90-day launch plan; cold email drafts; GitHub profile setup; research paper reading</w:t>
            </w:r>
          </w:p>
        </w:tc>
      </w:tr>
      <w:tr>
        <w:tc>
          <w:tcPr>
            <w:tcW w:type="dxa" w:w="144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b/>
                <w:bCs/>
                <w:color w:val="D35400"/>
                <w:sz w:val="20"/>
                <w:szCs w:val="20"/>
              </w:rPr>
              <w:t xml:space="preserve">13–15</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Ecosystem layers, role descriptions, network building, internship programs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Industry map diagram; career interest matching; network action step</w:t>
            </w:r>
          </w:p>
        </w:tc>
      </w:tr>
      <w:tr>
        <w:tc>
          <w:tcPr>
            <w:tcW w:type="dxa" w:w="144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color w:val="7D3C98"/>
                <w:sz w:val="20"/>
                <w:szCs w:val="20"/>
              </w:rPr>
              <w:t xml:space="preserve">11–12</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 in medicine/environment/policy/education; domain + AI advantage</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Pick a field + research how AI is changing it; present to class</w:t>
            </w:r>
          </w:p>
        </w:tc>
      </w:tr>
      <w:tr>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9–10</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 in different fields (medicine, science, environment); future jobs concept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Career explorer research card; 'AI in my favorite field' mini-project</w:t>
            </w:r>
          </w:p>
        </w:tc>
      </w:tr>
      <w:tr>
        <w:tc>
          <w:tcPr>
            <w:tcW w:type="dxa" w:w="14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B7770D"/>
                <w:sz w:val="20"/>
                <w:szCs w:val="20"/>
              </w:rPr>
              <w:t xml:space="preserve">7–8</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 game designer, AI artist/storyteller, AI scientist; you can help too</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Dream job doodle; 'what would you build with AI?' discussion</w:t>
            </w:r>
          </w:p>
        </w:tc>
      </w:tr>
      <w:tr>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5–6</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AI teachers (trainers), AI story helpers, you can give feedback</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sz w:val="20"/>
                <w:szCs w:val="20"/>
              </w:rPr>
              <w:t xml:space="preserve">Draw yourself working with a robot helper; simple role-play</w:t>
            </w:r>
          </w:p>
        </w:tc>
      </w:tr>
    </w:tbl>
    <w:p>
      <w:pPr>
        <w:spacing w:after="0" w:before="80"/>
      </w:pPr>
      <w:r>
        <w:t xml:space="preserve"/>
      </w:r>
    </w:p>
    <w:p>
      <w:pPr>
        <w:pStyle w:val="Heading4"/>
        <w:spacing w:after="120" w:before="200"/>
      </w:pPr>
      <w:r>
        <w:rPr>
          <w:rFonts w:ascii="Arial" w:cs="Arial" w:eastAsia="Arial" w:hAnsi="Arial"/>
          <w:b/>
          <w:bCs/>
          <w:color w:val="000000"/>
          <w:sz w:val="22"/>
          <w:szCs w:val="22"/>
        </w:rPr>
        <w:t xml:space="preserve">Build Notes — Careers in AI</w:t>
      </w:r>
    </w:p>
    <w:p>
      <w:pPr>
        <w:pStyle w:val="ListParagraph"/>
        <w:numPr>
          <w:ilvl w:val="0"/>
          <w:numId w:val="2"/>
        </w:numPr>
        <w:spacing w:after="40" w:before="40"/>
      </w:pPr>
      <w:r>
        <w:rPr>
          <w:rFonts w:ascii="Arial" w:cs="Arial" w:eastAsia="Arial" w:hAnsi="Arial"/>
          <w:b w:val="false"/>
          <w:bCs w:val="false"/>
          <w:sz w:val="22"/>
          <w:szCs w:val="22"/>
        </w:rPr>
        <w:t xml:space="preserve">16–18: 90-day action plan; cold email template; GitHub setup walkthrough; program applications</w:t>
      </w:r>
    </w:p>
    <w:p>
      <w:pPr>
        <w:pStyle w:val="ListParagraph"/>
        <w:numPr>
          <w:ilvl w:val="0"/>
          <w:numId w:val="2"/>
        </w:numPr>
        <w:spacing w:after="40" w:before="40"/>
      </w:pPr>
      <w:r>
        <w:rPr>
          <w:rFonts w:ascii="Arial" w:cs="Arial" w:eastAsia="Arial" w:hAnsi="Arial"/>
          <w:b w:val="false"/>
          <w:bCs w:val="false"/>
          <w:sz w:val="22"/>
          <w:szCs w:val="22"/>
        </w:rPr>
        <w:t xml:space="preserve">13–15: Industry ecosystem map activity; connect each role to a specific company or team</w:t>
      </w:r>
    </w:p>
    <w:p>
      <w:pPr>
        <w:pStyle w:val="ListParagraph"/>
        <w:numPr>
          <w:ilvl w:val="0"/>
          <w:numId w:val="2"/>
        </w:numPr>
        <w:spacing w:after="40" w:before="40"/>
      </w:pPr>
      <w:r>
        <w:rPr>
          <w:rFonts w:ascii="Arial" w:cs="Arial" w:eastAsia="Arial" w:hAnsi="Arial"/>
          <w:b w:val="false"/>
          <w:bCs w:val="false"/>
          <w:sz w:val="22"/>
          <w:szCs w:val="22"/>
        </w:rPr>
        <w:t xml:space="preserve">11–12: 'AI in my field' research card — pick any field, find how AI is changing it</w:t>
      </w:r>
    </w:p>
    <w:p>
      <w:pPr>
        <w:pStyle w:val="ListParagraph"/>
        <w:numPr>
          <w:ilvl w:val="0"/>
          <w:numId w:val="2"/>
        </w:numPr>
        <w:spacing w:after="40" w:before="40"/>
      </w:pPr>
      <w:r>
        <w:rPr>
          <w:rFonts w:ascii="Arial" w:cs="Arial" w:eastAsia="Arial" w:hAnsi="Arial"/>
          <w:b w:val="false"/>
          <w:bCs w:val="false"/>
          <w:sz w:val="22"/>
          <w:szCs w:val="22"/>
        </w:rPr>
        <w:t xml:space="preserve">9–10: Career Explorer card — interview a parent/teacher about AI in their work</w:t>
      </w:r>
    </w:p>
    <w:p>
      <w:pPr>
        <w:pStyle w:val="ListParagraph"/>
        <w:numPr>
          <w:ilvl w:val="0"/>
          <w:numId w:val="2"/>
        </w:numPr>
        <w:spacing w:after="40" w:before="40"/>
      </w:pPr>
      <w:r>
        <w:rPr>
          <w:rFonts w:ascii="Arial" w:cs="Arial" w:eastAsia="Arial" w:hAnsi="Arial"/>
          <w:b w:val="false"/>
          <w:bCs w:val="false"/>
          <w:sz w:val="22"/>
          <w:szCs w:val="22"/>
        </w:rPr>
        <w:t xml:space="preserve">7–8: Dream job doodle + 'what would your robot helper do?' prompt</w:t>
      </w:r>
    </w:p>
    <w:p>
      <w:pPr>
        <w:pStyle w:val="ListParagraph"/>
        <w:numPr>
          <w:ilvl w:val="0"/>
          <w:numId w:val="2"/>
        </w:numPr>
        <w:spacing w:after="40" w:before="40"/>
      </w:pPr>
      <w:r>
        <w:rPr>
          <w:rFonts w:ascii="Arial" w:cs="Arial" w:eastAsia="Arial" w:hAnsi="Arial"/>
          <w:b w:val="false"/>
          <w:bCs w:val="false"/>
          <w:sz w:val="22"/>
          <w:szCs w:val="22"/>
        </w:rPr>
        <w:t xml:space="preserve">5–6: Draw yourself working with a friendly robot — oral sharing</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000000"/>
          <w:sz w:val="40"/>
          <w:szCs w:val="40"/>
        </w:rPr>
        <w:t xml:space="preserve">Implementation Plan</w:t>
      </w:r>
    </w:p>
    <w:p>
      <w:pPr>
        <w:pStyle w:val="Heading2"/>
        <w:spacing w:after="120" w:before="320"/>
      </w:pPr>
      <w:r>
        <w:rPr>
          <w:rFonts w:ascii="Arial" w:cs="Arial" w:eastAsia="Arial" w:hAnsi="Arial"/>
          <w:b/>
          <w:bCs/>
          <w:color w:val="000000"/>
          <w:sz w:val="32"/>
          <w:szCs w:val="32"/>
        </w:rPr>
        <w:t xml:space="preserve">Phase 1 — Rebuild 16–18 as Full Master</w:t>
      </w:r>
    </w:p>
    <w:p>
      <w:pPr>
        <w:spacing w:after="120" w:before="60"/>
      </w:pPr>
      <w:r>
        <w:rPr>
          <w:rFonts w:ascii="Arial" w:cs="Arial" w:eastAsia="Arial" w:hAnsi="Arial"/>
          <w:sz w:val="22"/>
          <w:szCs w:val="22"/>
        </w:rPr>
        <w:t xml:space="preserve">Rewrite the Ages 16–18 module content to be the definitive, complete version of each concept. Every concept that appears in any younger age group MUST be present and fully developed here. This is the source of truth.</w:t>
      </w:r>
    </w:p>
    <w:p>
      <w:pPr>
        <w:pStyle w:val="ListParagraph"/>
        <w:numPr>
          <w:ilvl w:val="0"/>
          <w:numId w:val="2"/>
        </w:numPr>
        <w:spacing w:after="40" w:before="40"/>
      </w:pPr>
      <w:r>
        <w:rPr>
          <w:rFonts w:ascii="Arial" w:cs="Arial" w:eastAsia="Arial" w:hAnsi="Arial"/>
          <w:b w:val="false"/>
          <w:bCs w:val="false"/>
          <w:sz w:val="22"/>
          <w:szCs w:val="22"/>
        </w:rPr>
        <w:t xml:space="preserve">Review existing 16–18 content against master concept lists above</w:t>
      </w:r>
    </w:p>
    <w:p>
      <w:pPr>
        <w:pStyle w:val="ListParagraph"/>
        <w:numPr>
          <w:ilvl w:val="0"/>
          <w:numId w:val="2"/>
        </w:numPr>
        <w:spacing w:after="40" w:before="40"/>
      </w:pPr>
      <w:r>
        <w:rPr>
          <w:rFonts w:ascii="Arial" w:cs="Arial" w:eastAsia="Arial" w:hAnsi="Arial"/>
          <w:b w:val="false"/>
          <w:bCs w:val="false"/>
          <w:sz w:val="22"/>
          <w:szCs w:val="22"/>
        </w:rPr>
        <w:t xml:space="preserve">Expand thin sections — especially governance, alignment, and long-term impact</w:t>
      </w:r>
    </w:p>
    <w:p>
      <w:pPr>
        <w:pStyle w:val="ListParagraph"/>
        <w:numPr>
          <w:ilvl w:val="0"/>
          <w:numId w:val="2"/>
        </w:numPr>
        <w:spacing w:after="40" w:before="40"/>
      </w:pPr>
      <w:r>
        <w:rPr>
          <w:rFonts w:ascii="Arial" w:cs="Arial" w:eastAsia="Arial" w:hAnsi="Arial"/>
          <w:b w:val="false"/>
          <w:bCs w:val="false"/>
          <w:sz w:val="22"/>
          <w:szCs w:val="22"/>
        </w:rPr>
        <w:t xml:space="preserve">Add primary source links and references throughout</w:t>
      </w:r>
    </w:p>
    <w:p>
      <w:pPr>
        <w:pStyle w:val="ListParagraph"/>
        <w:numPr>
          <w:ilvl w:val="0"/>
          <w:numId w:val="2"/>
        </w:numPr>
        <w:spacing w:after="40" w:before="40"/>
      </w:pPr>
      <w:r>
        <w:rPr>
          <w:rFonts w:ascii="Arial" w:cs="Arial" w:eastAsia="Arial" w:hAnsi="Arial"/>
          <w:b w:val="false"/>
          <w:bCs w:val="false"/>
          <w:sz w:val="22"/>
          <w:szCs w:val="22"/>
        </w:rPr>
        <w:t xml:space="preserve">Ensure all 5 modules contain: concept explanations, callout boxes, activities, quiz</w:t>
      </w:r>
    </w:p>
    <w:p>
      <w:pPr>
        <w:pStyle w:val="Heading2"/>
        <w:spacing w:after="120" w:before="320"/>
      </w:pPr>
      <w:r>
        <w:rPr>
          <w:rFonts w:ascii="Arial" w:cs="Arial" w:eastAsia="Arial" w:hAnsi="Arial"/>
          <w:b/>
          <w:bCs/>
          <w:color w:val="000000"/>
          <w:sz w:val="32"/>
          <w:szCs w:val="32"/>
        </w:rPr>
        <w:t xml:space="preserve">Phase 2 — Rebuild 13–15 as Applied Subset</w:t>
      </w:r>
    </w:p>
    <w:p>
      <w:pPr>
        <w:spacing w:after="120" w:before="60"/>
      </w:pPr>
      <w:r>
        <w:rPr>
          <w:rFonts w:ascii="Arial" w:cs="Arial" w:eastAsia="Arial" w:hAnsi="Arial"/>
          <w:sz w:val="22"/>
          <w:szCs w:val="22"/>
        </w:rPr>
        <w:t xml:space="preserve">Rewrite 13–15 as an applied-focus subset — all concepts are real and accurate, but framed around 'what can you do with this' rather than 'here is the technical architecture.'</w:t>
      </w:r>
    </w:p>
    <w:p>
      <w:pPr>
        <w:pStyle w:val="ListParagraph"/>
        <w:numPr>
          <w:ilvl w:val="0"/>
          <w:numId w:val="2"/>
        </w:numPr>
        <w:spacing w:after="40" w:before="40"/>
      </w:pPr>
      <w:r>
        <w:rPr>
          <w:rFonts w:ascii="Arial" w:cs="Arial" w:eastAsia="Arial" w:hAnsi="Arial"/>
          <w:b w:val="false"/>
          <w:bCs w:val="false"/>
          <w:sz w:val="22"/>
          <w:szCs w:val="22"/>
        </w:rPr>
        <w:t xml:space="preserve">Verify every concept maps to a concept in the 16–18 master</w:t>
      </w:r>
    </w:p>
    <w:p>
      <w:pPr>
        <w:pStyle w:val="ListParagraph"/>
        <w:numPr>
          <w:ilvl w:val="0"/>
          <w:numId w:val="2"/>
        </w:numPr>
        <w:spacing w:after="40" w:before="40"/>
      </w:pPr>
      <w:r>
        <w:rPr>
          <w:rFonts w:ascii="Arial" w:cs="Arial" w:eastAsia="Arial" w:hAnsi="Arial"/>
          <w:b w:val="false"/>
          <w:bCs w:val="false"/>
          <w:sz w:val="22"/>
          <w:szCs w:val="22"/>
        </w:rPr>
        <w:t xml:space="preserve">Remove concepts that are too abstract for applied framing</w:t>
      </w:r>
    </w:p>
    <w:p>
      <w:pPr>
        <w:pStyle w:val="ListParagraph"/>
        <w:numPr>
          <w:ilvl w:val="0"/>
          <w:numId w:val="2"/>
        </w:numPr>
        <w:spacing w:after="40" w:before="40"/>
      </w:pPr>
      <w:r>
        <w:rPr>
          <w:rFonts w:ascii="Arial" w:cs="Arial" w:eastAsia="Arial" w:hAnsi="Arial"/>
          <w:b w:val="false"/>
          <w:bCs w:val="false"/>
          <w:sz w:val="22"/>
          <w:szCs w:val="22"/>
        </w:rPr>
        <w:t xml:space="preserve">Add more project-based activities — documented outputs, portfolio pieces</w:t>
      </w:r>
    </w:p>
    <w:p>
      <w:pPr>
        <w:pStyle w:val="Heading2"/>
        <w:spacing w:after="120" w:before="320"/>
      </w:pPr>
      <w:r>
        <w:rPr>
          <w:rFonts w:ascii="Arial" w:cs="Arial" w:eastAsia="Arial" w:hAnsi="Arial"/>
          <w:b/>
          <w:bCs/>
          <w:color w:val="000000"/>
          <w:sz w:val="32"/>
          <w:szCs w:val="32"/>
        </w:rPr>
        <w:t xml:space="preserve">Phase 3 — Rebuild 11–12 as Conceptual Introduction</w:t>
      </w:r>
    </w:p>
    <w:p>
      <w:pPr>
        <w:spacing w:after="120" w:before="60"/>
      </w:pPr>
      <w:r>
        <w:rPr>
          <w:rFonts w:ascii="Arial" w:cs="Arial" w:eastAsia="Arial" w:hAnsi="Arial"/>
          <w:sz w:val="22"/>
          <w:szCs w:val="22"/>
        </w:rPr>
        <w:t xml:space="preserve">Ages 11–12 get correct vocabulary and real concepts, introduced through analogies and experiments. They should finish each module knowing the right words for things even if they don't know the full depth.</w:t>
      </w:r>
    </w:p>
    <w:p>
      <w:pPr>
        <w:pStyle w:val="Heading2"/>
        <w:spacing w:after="120" w:before="320"/>
      </w:pPr>
      <w:r>
        <w:rPr>
          <w:rFonts w:ascii="Arial" w:cs="Arial" w:eastAsia="Arial" w:hAnsi="Arial"/>
          <w:b/>
          <w:bCs/>
          <w:color w:val="000000"/>
          <w:sz w:val="32"/>
          <w:szCs w:val="32"/>
        </w:rPr>
        <w:t xml:space="preserve">Phase 4 — Rebuild 9–10 as Exploratory Discovery</w:t>
      </w:r>
    </w:p>
    <w:p>
      <w:pPr>
        <w:spacing w:after="120" w:before="60"/>
      </w:pPr>
      <w:r>
        <w:rPr>
          <w:rFonts w:ascii="Arial" w:cs="Arial" w:eastAsia="Arial" w:hAnsi="Arial"/>
          <w:sz w:val="22"/>
          <w:szCs w:val="22"/>
        </w:rPr>
        <w:t xml:space="preserve">Led by 'what happens if' experiments. Concepts are introduced through doing, not explaining. Activities precede definitions.</w:t>
      </w:r>
    </w:p>
    <w:p>
      <w:pPr>
        <w:pStyle w:val="Heading2"/>
        <w:spacing w:after="120" w:before="320"/>
      </w:pPr>
      <w:r>
        <w:rPr>
          <w:rFonts w:ascii="Arial" w:cs="Arial" w:eastAsia="Arial" w:hAnsi="Arial"/>
          <w:b/>
          <w:bCs/>
          <w:color w:val="000000"/>
          <w:sz w:val="32"/>
          <w:szCs w:val="32"/>
        </w:rPr>
        <w:t xml:space="preserve">Phase 5 — Rebuild 7–8 as Structured Play</w:t>
      </w:r>
    </w:p>
    <w:p>
      <w:pPr>
        <w:spacing w:after="120" w:before="60"/>
      </w:pPr>
      <w:r>
        <w:rPr>
          <w:rFonts w:ascii="Arial" w:cs="Arial" w:eastAsia="Arial" w:hAnsi="Arial"/>
          <w:sz w:val="22"/>
          <w:szCs w:val="22"/>
        </w:rPr>
        <w:t xml:space="preserve">Physical and digital games that encode the concept. Children should experience the concept before hearing the word for it. Rules and activities are the lesson.</w:t>
      </w:r>
    </w:p>
    <w:p>
      <w:pPr>
        <w:pStyle w:val="Heading2"/>
        <w:spacing w:after="120" w:before="320"/>
      </w:pPr>
      <w:r>
        <w:rPr>
          <w:rFonts w:ascii="Arial" w:cs="Arial" w:eastAsia="Arial" w:hAnsi="Arial"/>
          <w:b/>
          <w:bCs/>
          <w:color w:val="000000"/>
          <w:sz w:val="32"/>
          <w:szCs w:val="32"/>
        </w:rPr>
        <w:t xml:space="preserve">Phase 6 — Rebuild 5–6 as Story &amp; Metaphor</w:t>
      </w:r>
    </w:p>
    <w:p>
      <w:pPr>
        <w:spacing w:after="120" w:before="60"/>
      </w:pPr>
      <w:r>
        <w:rPr>
          <w:rFonts w:ascii="Arial" w:cs="Arial" w:eastAsia="Arial" w:hAnsi="Arial"/>
          <w:sz w:val="22"/>
          <w:szCs w:val="22"/>
        </w:rPr>
        <w:t xml:space="preserve">Everything is a story, an analogy, or a character. No jargon. Adults facilitate. Activities are family-level. The goal is to build intuition, not vocabulary.</w:t>
      </w:r>
    </w:p>
    <w:p>
      <w:pPr>
        <w:pBdr>
          <w:bottom w:val="single" w:color="CCCCCC" w:sz="4" w:space="1"/>
        </w:pBdr>
        <w:spacing w:after="200" w:before="200"/>
      </w:pPr>
      <w:r>
        <w:t xml:space="preserve"/>
      </w:r>
    </w:p>
    <w:p>
      <w:pPr>
        <w:pStyle w:val="Heading1"/>
        <w:spacing w:after="120" w:before="320"/>
      </w:pPr>
      <w:r>
        <w:rPr>
          <w:rFonts w:ascii="Arial" w:cs="Arial" w:eastAsia="Arial" w:hAnsi="Arial"/>
          <w:b/>
          <w:bCs/>
          <w:color w:val="000000"/>
          <w:sz w:val="40"/>
          <w:szCs w:val="40"/>
        </w:rPr>
        <w:t xml:space="preserve">Technical Implementation</w:t>
      </w:r>
    </w:p>
    <w:p>
      <w:pPr>
        <w:pStyle w:val="Heading2"/>
        <w:spacing w:after="120" w:before="320"/>
      </w:pPr>
      <w:r>
        <w:rPr>
          <w:rFonts w:ascii="Arial" w:cs="Arial" w:eastAsia="Arial" w:hAnsi="Arial"/>
          <w:b/>
          <w:bCs/>
          <w:color w:val="000000"/>
          <w:sz w:val="32"/>
          <w:szCs w:val="32"/>
        </w:rPr>
        <w:t xml:space="preserve">File Structure</w:t>
      </w:r>
    </w:p>
    <w:p>
      <w:pPr>
        <w:spacing w:after="120" w:before="60"/>
      </w:pPr>
      <w:r>
        <w:rPr>
          <w:rFonts w:ascii="Arial" w:cs="Arial" w:eastAsia="Arial" w:hAnsi="Arial"/>
          <w:sz w:val="22"/>
          <w:szCs w:val="22"/>
        </w:rPr>
        <w:t xml:space="preserve">The current single-file HTML approach (AI-Academy.html) is the right architecture. Changes needed:</w:t>
      </w:r>
    </w:p>
    <w:p>
      <w:pPr>
        <w:pStyle w:val="ListParagraph"/>
        <w:numPr>
          <w:ilvl w:val="0"/>
          <w:numId w:val="2"/>
        </w:numPr>
        <w:spacing w:after="40" w:before="40"/>
      </w:pPr>
      <w:r>
        <w:rPr>
          <w:rFonts w:ascii="Arial" w:cs="Arial" w:eastAsia="Arial" w:hAnsi="Arial"/>
          <w:b w:val="false"/>
          <w:bCs w:val="false"/>
          <w:sz w:val="22"/>
          <w:szCs w:val="22"/>
        </w:rPr>
        <w:t xml:space="preserve">Each age group GROUPS entry becomes a complete, rebuilt content object</w:t>
      </w:r>
    </w:p>
    <w:p>
      <w:pPr>
        <w:pStyle w:val="ListParagraph"/>
        <w:numPr>
          <w:ilvl w:val="0"/>
          <w:numId w:val="2"/>
        </w:numPr>
        <w:spacing w:after="40" w:before="40"/>
      </w:pPr>
      <w:r>
        <w:rPr>
          <w:rFonts w:ascii="Arial" w:cs="Arial" w:eastAsia="Arial" w:hAnsi="Arial"/>
          <w:b w:val="false"/>
          <w:bCs w:val="false"/>
          <w:sz w:val="22"/>
          <w:szCs w:val="22"/>
        </w:rPr>
        <w:t xml:space="preserve">No content sharing between groups — each group is self-contained</w:t>
      </w:r>
    </w:p>
    <w:p>
      <w:pPr>
        <w:pStyle w:val="ListParagraph"/>
        <w:numPr>
          <w:ilvl w:val="0"/>
          <w:numId w:val="2"/>
        </w:numPr>
        <w:spacing w:after="40" w:before="40"/>
      </w:pPr>
      <w:r>
        <w:rPr>
          <w:rFonts w:ascii="Arial" w:cs="Arial" w:eastAsia="Arial" w:hAnsi="Arial"/>
          <w:b w:val="false"/>
          <w:bCs w:val="false"/>
          <w:sz w:val="22"/>
          <w:szCs w:val="22"/>
        </w:rPr>
        <w:t xml:space="preserve">Module IDs, labels, and structure remain identical across groups for consistency</w:t>
      </w:r>
    </w:p>
    <w:p>
      <w:pPr>
        <w:pStyle w:val="ListParagraph"/>
        <w:numPr>
          <w:ilvl w:val="0"/>
          <w:numId w:val="2"/>
        </w:numPr>
        <w:spacing w:after="40" w:before="40"/>
      </w:pPr>
      <w:r>
        <w:rPr>
          <w:rFonts w:ascii="Arial" w:cs="Arial" w:eastAsia="Arial" w:hAnsi="Arial"/>
          <w:b w:val="false"/>
          <w:bCs w:val="false"/>
          <w:sz w:val="22"/>
          <w:szCs w:val="22"/>
        </w:rPr>
        <w:t xml:space="preserve">Activities and quizzes are unique per age group — no reuse</w:t>
      </w:r>
    </w:p>
    <w:p>
      <w:pPr>
        <w:pStyle w:val="Heading2"/>
        <w:spacing w:after="120" w:before="320"/>
      </w:pPr>
      <w:r>
        <w:rPr>
          <w:rFonts w:ascii="Arial" w:cs="Arial" w:eastAsia="Arial" w:hAnsi="Arial"/>
          <w:b/>
          <w:bCs/>
          <w:color w:val="000000"/>
          <w:sz w:val="32"/>
          <w:szCs w:val="32"/>
        </w:rPr>
        <w:t xml:space="preserve">Content Authoring Approach</w:t>
      </w:r>
    </w:p>
    <w:p>
      <w:pPr>
        <w:spacing w:after="120" w:before="60"/>
      </w:pPr>
      <w:r>
        <w:rPr>
          <w:rFonts w:ascii="Arial" w:cs="Arial" w:eastAsia="Arial" w:hAnsi="Arial"/>
          <w:sz w:val="22"/>
          <w:szCs w:val="22"/>
        </w:rPr>
        <w:t xml:space="preserve">Each rebuild session should take one module topic and one age group — producing a complete, polished lesson with: 4–6 concept sections, 1–2 callout boxes, 1 activity, 1 quiz. That is 30 lesson units total (6 groups × 5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7A6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What AI Is</w:t>
            </w:r>
          </w:p>
        </w:tc>
        <w:tc>
          <w:tcPr>
            <w:tcW w:type="dxa" w:w="1560"/>
            <w:tcBorders>
              <w:top w:val="single" w:color="CCCCCC" w:sz="1"/>
              <w:left w:val="single" w:color="CCCCCC" w:sz="1"/>
              <w:bottom w:val="single" w:color="CCCCCC" w:sz="1"/>
              <w:right w:val="single" w:color="CCCCCC" w:sz="1"/>
            </w:tcBorders>
            <w:shd w:fill="1A7A6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Safety</w:t>
            </w:r>
          </w:p>
        </w:tc>
        <w:tc>
          <w:tcPr>
            <w:tcW w:type="dxa" w:w="1560"/>
            <w:tcBorders>
              <w:top w:val="single" w:color="CCCCCC" w:sz="1"/>
              <w:left w:val="single" w:color="CCCCCC" w:sz="1"/>
              <w:bottom w:val="single" w:color="CCCCCC" w:sz="1"/>
              <w:right w:val="single" w:color="CCCCCC" w:sz="1"/>
            </w:tcBorders>
            <w:shd w:fill="1A7A6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Responsible</w:t>
            </w:r>
          </w:p>
        </w:tc>
        <w:tc>
          <w:tcPr>
            <w:tcW w:type="dxa" w:w="1560"/>
            <w:tcBorders>
              <w:top w:val="single" w:color="CCCCCC" w:sz="1"/>
              <w:left w:val="single" w:color="CCCCCC" w:sz="1"/>
              <w:bottom w:val="single" w:color="CCCCCC" w:sz="1"/>
              <w:right w:val="single" w:color="CCCCCC" w:sz="1"/>
            </w:tcBorders>
            <w:shd w:fill="1A7A6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Storytelling</w:t>
            </w:r>
          </w:p>
        </w:tc>
        <w:tc>
          <w:tcPr>
            <w:tcW w:type="dxa" w:w="1560"/>
            <w:tcBorders>
              <w:top w:val="single" w:color="CCCCCC" w:sz="1"/>
              <w:left w:val="single" w:color="CCCCCC" w:sz="1"/>
              <w:bottom w:val="single" w:color="CCCCCC" w:sz="1"/>
              <w:right w:val="single" w:color="CCCCCC" w:sz="1"/>
            </w:tcBorders>
            <w:shd w:fill="1A7A6E"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Careers</w:t>
            </w:r>
          </w:p>
        </w:tc>
        <w:tc>
          <w:tcPr>
            <w:tcW w:type="dxa" w:w="1560"/>
            <w:tcBorders>
              <w:top w:val="single" w:color="CCCCCC" w:sz="1"/>
              <w:left w:val="single" w:color="CCCCCC" w:sz="1"/>
              <w:bottom w:val="single" w:color="CCCCCC" w:sz="1"/>
              <w:right w:val="single" w:color="CCCCCC" w:sz="1"/>
            </w:tcBorders>
            <w:shd w:fill="1A2540" w:val="clear"/>
            <w:tcMar>
              <w:top w:type="dxa" w:w="60"/>
              <w:left w:type="dxa" w:w="80"/>
              <w:bottom w:type="dxa" w:w="60"/>
              <w:right w:type="dxa" w:w="80"/>
            </w:tcMar>
          </w:tcPr>
          <w:p>
            <w:r>
              <w:t xml:space="preserve"/>
            </w:r>
          </w:p>
        </w:tc>
      </w:tr>
      <w:tr>
        <w:tc>
          <w:tcPr>
            <w:tcW w:type="dxa" w:w="15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C0392B"/>
                <w:sz w:val="18"/>
                <w:szCs w:val="18"/>
              </w:rPr>
              <w:t xml:space="preserve">Build</w:t>
            </w:r>
          </w:p>
        </w:tc>
        <w:tc>
          <w:tcPr>
            <w:tcW w:type="dxa" w:w="15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C0392B"/>
                <w:sz w:val="18"/>
                <w:szCs w:val="18"/>
              </w:rPr>
              <w:t xml:space="preserve">Build</w:t>
            </w:r>
          </w:p>
        </w:tc>
        <w:tc>
          <w:tcPr>
            <w:tcW w:type="dxa" w:w="15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C0392B"/>
                <w:sz w:val="18"/>
                <w:szCs w:val="18"/>
              </w:rPr>
              <w:t xml:space="preserve">Build</w:t>
            </w:r>
          </w:p>
        </w:tc>
        <w:tc>
          <w:tcPr>
            <w:tcW w:type="dxa" w:w="15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C0392B"/>
                <w:sz w:val="18"/>
                <w:szCs w:val="18"/>
              </w:rPr>
              <w:t xml:space="preserve">Build</w:t>
            </w:r>
          </w:p>
        </w:tc>
        <w:tc>
          <w:tcPr>
            <w:tcW w:type="dxa" w:w="15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color w:val="C0392B"/>
                <w:sz w:val="18"/>
                <w:szCs w:val="18"/>
              </w:rPr>
              <w:t xml:space="preserve">Build</w:t>
            </w:r>
          </w:p>
        </w:tc>
        <w:tc>
          <w:tcPr>
            <w:tcW w:type="dxa" w:w="15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b/>
                <w:bCs/>
                <w:color w:val="C0392B"/>
                <w:sz w:val="18"/>
                <w:szCs w:val="18"/>
              </w:rPr>
              <w:t xml:space="preserve">Ages 16–18</w:t>
            </w:r>
          </w:p>
        </w:tc>
      </w:tr>
      <w:tr>
        <w:tc>
          <w:tcPr>
            <w:tcW w:type="dxa" w:w="1560"/>
            <w:tcBorders>
              <w:top w:val="single" w:color="CCCCCC" w:sz="1"/>
              <w:left w:val="single" w:color="CCCCCC" w:sz="1"/>
              <w:bottom w:val="single" w:color="CCCCCC" w:sz="1"/>
              <w:right w:val="single" w:color="CCCCCC" w:sz="1"/>
            </w:tcBorders>
            <w:shd w:fill="FAE5D3" w:val="clear"/>
            <w:tcMar>
              <w:top w:type="dxa" w:w="60"/>
              <w:left w:type="dxa" w:w="80"/>
              <w:bottom w:type="dxa" w:w="60"/>
              <w:right w:type="dxa" w:w="80"/>
            </w:tcMar>
          </w:tcPr>
          <w:p>
            <w:pPr>
              <w:jc w:val="center"/>
            </w:pPr>
            <w:r>
              <w:rPr>
                <w:rFonts w:ascii="Arial" w:cs="Arial" w:eastAsia="Arial" w:hAnsi="Arial"/>
                <w:color w:val="D35400"/>
                <w:sz w:val="18"/>
                <w:szCs w:val="18"/>
              </w:rPr>
              <w:t xml:space="preserve">Build</w:t>
            </w:r>
          </w:p>
        </w:tc>
        <w:tc>
          <w:tcPr>
            <w:tcW w:type="dxa" w:w="1560"/>
            <w:tcBorders>
              <w:top w:val="single" w:color="CCCCCC" w:sz="1"/>
              <w:left w:val="single" w:color="CCCCCC" w:sz="1"/>
              <w:bottom w:val="single" w:color="CCCCCC" w:sz="1"/>
              <w:right w:val="single" w:color="CCCCCC" w:sz="1"/>
            </w:tcBorders>
            <w:shd w:fill="FAE5D3" w:val="clear"/>
            <w:tcMar>
              <w:top w:type="dxa" w:w="60"/>
              <w:left w:type="dxa" w:w="80"/>
              <w:bottom w:type="dxa" w:w="60"/>
              <w:right w:type="dxa" w:w="80"/>
            </w:tcMar>
          </w:tcPr>
          <w:p>
            <w:pPr>
              <w:jc w:val="center"/>
            </w:pPr>
            <w:r>
              <w:rPr>
                <w:rFonts w:ascii="Arial" w:cs="Arial" w:eastAsia="Arial" w:hAnsi="Arial"/>
                <w:color w:val="D35400"/>
                <w:sz w:val="18"/>
                <w:szCs w:val="18"/>
              </w:rPr>
              <w:t xml:space="preserve">Build</w:t>
            </w:r>
          </w:p>
        </w:tc>
        <w:tc>
          <w:tcPr>
            <w:tcW w:type="dxa" w:w="1560"/>
            <w:tcBorders>
              <w:top w:val="single" w:color="CCCCCC" w:sz="1"/>
              <w:left w:val="single" w:color="CCCCCC" w:sz="1"/>
              <w:bottom w:val="single" w:color="CCCCCC" w:sz="1"/>
              <w:right w:val="single" w:color="CCCCCC" w:sz="1"/>
            </w:tcBorders>
            <w:shd w:fill="FAE5D3" w:val="clear"/>
            <w:tcMar>
              <w:top w:type="dxa" w:w="60"/>
              <w:left w:type="dxa" w:w="80"/>
              <w:bottom w:type="dxa" w:w="60"/>
              <w:right w:type="dxa" w:w="80"/>
            </w:tcMar>
          </w:tcPr>
          <w:p>
            <w:pPr>
              <w:jc w:val="center"/>
            </w:pPr>
            <w:r>
              <w:rPr>
                <w:rFonts w:ascii="Arial" w:cs="Arial" w:eastAsia="Arial" w:hAnsi="Arial"/>
                <w:color w:val="D35400"/>
                <w:sz w:val="18"/>
                <w:szCs w:val="18"/>
              </w:rPr>
              <w:t xml:space="preserve">Build</w:t>
            </w:r>
          </w:p>
        </w:tc>
        <w:tc>
          <w:tcPr>
            <w:tcW w:type="dxa" w:w="1560"/>
            <w:tcBorders>
              <w:top w:val="single" w:color="CCCCCC" w:sz="1"/>
              <w:left w:val="single" w:color="CCCCCC" w:sz="1"/>
              <w:bottom w:val="single" w:color="CCCCCC" w:sz="1"/>
              <w:right w:val="single" w:color="CCCCCC" w:sz="1"/>
            </w:tcBorders>
            <w:shd w:fill="FAE5D3" w:val="clear"/>
            <w:tcMar>
              <w:top w:type="dxa" w:w="60"/>
              <w:left w:type="dxa" w:w="80"/>
              <w:bottom w:type="dxa" w:w="60"/>
              <w:right w:type="dxa" w:w="80"/>
            </w:tcMar>
          </w:tcPr>
          <w:p>
            <w:pPr>
              <w:jc w:val="center"/>
            </w:pPr>
            <w:r>
              <w:rPr>
                <w:rFonts w:ascii="Arial" w:cs="Arial" w:eastAsia="Arial" w:hAnsi="Arial"/>
                <w:color w:val="D35400"/>
                <w:sz w:val="18"/>
                <w:szCs w:val="18"/>
              </w:rPr>
              <w:t xml:space="preserve">Build</w:t>
            </w:r>
          </w:p>
        </w:tc>
        <w:tc>
          <w:tcPr>
            <w:tcW w:type="dxa" w:w="1560"/>
            <w:tcBorders>
              <w:top w:val="single" w:color="CCCCCC" w:sz="1"/>
              <w:left w:val="single" w:color="CCCCCC" w:sz="1"/>
              <w:bottom w:val="single" w:color="CCCCCC" w:sz="1"/>
              <w:right w:val="single" w:color="CCCCCC" w:sz="1"/>
            </w:tcBorders>
            <w:shd w:fill="FAE5D3" w:val="clear"/>
            <w:tcMar>
              <w:top w:type="dxa" w:w="60"/>
              <w:left w:type="dxa" w:w="80"/>
              <w:bottom w:type="dxa" w:w="60"/>
              <w:right w:type="dxa" w:w="80"/>
            </w:tcMar>
          </w:tcPr>
          <w:p>
            <w:pPr>
              <w:jc w:val="center"/>
            </w:pPr>
            <w:r>
              <w:rPr>
                <w:rFonts w:ascii="Arial" w:cs="Arial" w:eastAsia="Arial" w:hAnsi="Arial"/>
                <w:color w:val="D35400"/>
                <w:sz w:val="18"/>
                <w:szCs w:val="18"/>
              </w:rPr>
              <w:t xml:space="preserve">Build</w:t>
            </w:r>
          </w:p>
        </w:tc>
        <w:tc>
          <w:tcPr>
            <w:tcW w:type="dxa" w:w="1560"/>
            <w:tcBorders>
              <w:top w:val="single" w:color="CCCCCC" w:sz="1"/>
              <w:left w:val="single" w:color="CCCCCC" w:sz="1"/>
              <w:bottom w:val="single" w:color="CCCCCC" w:sz="1"/>
              <w:right w:val="single" w:color="CCCCCC" w:sz="1"/>
            </w:tcBorders>
            <w:shd w:fill="FAE5D3" w:val="clear"/>
            <w:tcMar>
              <w:top w:type="dxa" w:w="60"/>
              <w:left w:type="dxa" w:w="80"/>
              <w:bottom w:type="dxa" w:w="60"/>
              <w:right w:type="dxa" w:w="80"/>
            </w:tcMar>
          </w:tcPr>
          <w:p>
            <w:r>
              <w:rPr>
                <w:rFonts w:ascii="Arial" w:cs="Arial" w:eastAsia="Arial" w:hAnsi="Arial"/>
                <w:b/>
                <w:bCs/>
                <w:color w:val="D35400"/>
                <w:sz w:val="18"/>
                <w:szCs w:val="18"/>
              </w:rPr>
              <w:t xml:space="preserve">Ages 13–15</w:t>
            </w:r>
          </w:p>
        </w:tc>
      </w:tr>
      <w:tr>
        <w:tc>
          <w:tcPr>
            <w:tcW w:type="dxa" w:w="1560"/>
            <w:tcBorders>
              <w:top w:val="single" w:color="CCCCCC" w:sz="1"/>
              <w:left w:val="single" w:color="CCCCCC" w:sz="1"/>
              <w:bottom w:val="single" w:color="CCCCCC" w:sz="1"/>
              <w:right w:val="single" w:color="CCCCCC" w:sz="1"/>
            </w:tcBorders>
            <w:shd w:fill="E8DAEF" w:val="clear"/>
            <w:tcMar>
              <w:top w:type="dxa" w:w="60"/>
              <w:left w:type="dxa" w:w="80"/>
              <w:bottom w:type="dxa" w:w="60"/>
              <w:right w:type="dxa" w:w="80"/>
            </w:tcMar>
          </w:tcPr>
          <w:p>
            <w:pPr>
              <w:jc w:val="center"/>
            </w:pPr>
            <w:r>
              <w:rPr>
                <w:rFonts w:ascii="Arial" w:cs="Arial" w:eastAsia="Arial" w:hAnsi="Arial"/>
                <w:color w:val="7D3C98"/>
                <w:sz w:val="18"/>
                <w:szCs w:val="18"/>
              </w:rPr>
              <w:t xml:space="preserve">Build</w:t>
            </w:r>
          </w:p>
        </w:tc>
        <w:tc>
          <w:tcPr>
            <w:tcW w:type="dxa" w:w="1560"/>
            <w:tcBorders>
              <w:top w:val="single" w:color="CCCCCC" w:sz="1"/>
              <w:left w:val="single" w:color="CCCCCC" w:sz="1"/>
              <w:bottom w:val="single" w:color="CCCCCC" w:sz="1"/>
              <w:right w:val="single" w:color="CCCCCC" w:sz="1"/>
            </w:tcBorders>
            <w:shd w:fill="E8DAEF" w:val="clear"/>
            <w:tcMar>
              <w:top w:type="dxa" w:w="60"/>
              <w:left w:type="dxa" w:w="80"/>
              <w:bottom w:type="dxa" w:w="60"/>
              <w:right w:type="dxa" w:w="80"/>
            </w:tcMar>
          </w:tcPr>
          <w:p>
            <w:pPr>
              <w:jc w:val="center"/>
            </w:pPr>
            <w:r>
              <w:rPr>
                <w:rFonts w:ascii="Arial" w:cs="Arial" w:eastAsia="Arial" w:hAnsi="Arial"/>
                <w:color w:val="7D3C98"/>
                <w:sz w:val="18"/>
                <w:szCs w:val="18"/>
              </w:rPr>
              <w:t xml:space="preserve">Build</w:t>
            </w:r>
          </w:p>
        </w:tc>
        <w:tc>
          <w:tcPr>
            <w:tcW w:type="dxa" w:w="1560"/>
            <w:tcBorders>
              <w:top w:val="single" w:color="CCCCCC" w:sz="1"/>
              <w:left w:val="single" w:color="CCCCCC" w:sz="1"/>
              <w:bottom w:val="single" w:color="CCCCCC" w:sz="1"/>
              <w:right w:val="single" w:color="CCCCCC" w:sz="1"/>
            </w:tcBorders>
            <w:shd w:fill="E8DAEF" w:val="clear"/>
            <w:tcMar>
              <w:top w:type="dxa" w:w="60"/>
              <w:left w:type="dxa" w:w="80"/>
              <w:bottom w:type="dxa" w:w="60"/>
              <w:right w:type="dxa" w:w="80"/>
            </w:tcMar>
          </w:tcPr>
          <w:p>
            <w:pPr>
              <w:jc w:val="center"/>
            </w:pPr>
            <w:r>
              <w:rPr>
                <w:rFonts w:ascii="Arial" w:cs="Arial" w:eastAsia="Arial" w:hAnsi="Arial"/>
                <w:color w:val="7D3C98"/>
                <w:sz w:val="18"/>
                <w:szCs w:val="18"/>
              </w:rPr>
              <w:t xml:space="preserve">Build</w:t>
            </w:r>
          </w:p>
        </w:tc>
        <w:tc>
          <w:tcPr>
            <w:tcW w:type="dxa" w:w="1560"/>
            <w:tcBorders>
              <w:top w:val="single" w:color="CCCCCC" w:sz="1"/>
              <w:left w:val="single" w:color="CCCCCC" w:sz="1"/>
              <w:bottom w:val="single" w:color="CCCCCC" w:sz="1"/>
              <w:right w:val="single" w:color="CCCCCC" w:sz="1"/>
            </w:tcBorders>
            <w:shd w:fill="E8DAEF" w:val="clear"/>
            <w:tcMar>
              <w:top w:type="dxa" w:w="60"/>
              <w:left w:type="dxa" w:w="80"/>
              <w:bottom w:type="dxa" w:w="60"/>
              <w:right w:type="dxa" w:w="80"/>
            </w:tcMar>
          </w:tcPr>
          <w:p>
            <w:pPr>
              <w:jc w:val="center"/>
            </w:pPr>
            <w:r>
              <w:rPr>
                <w:rFonts w:ascii="Arial" w:cs="Arial" w:eastAsia="Arial" w:hAnsi="Arial"/>
                <w:color w:val="7D3C98"/>
                <w:sz w:val="18"/>
                <w:szCs w:val="18"/>
              </w:rPr>
              <w:t xml:space="preserve">Build</w:t>
            </w:r>
          </w:p>
        </w:tc>
        <w:tc>
          <w:tcPr>
            <w:tcW w:type="dxa" w:w="1560"/>
            <w:tcBorders>
              <w:top w:val="single" w:color="CCCCCC" w:sz="1"/>
              <w:left w:val="single" w:color="CCCCCC" w:sz="1"/>
              <w:bottom w:val="single" w:color="CCCCCC" w:sz="1"/>
              <w:right w:val="single" w:color="CCCCCC" w:sz="1"/>
            </w:tcBorders>
            <w:shd w:fill="E8DAEF" w:val="clear"/>
            <w:tcMar>
              <w:top w:type="dxa" w:w="60"/>
              <w:left w:type="dxa" w:w="80"/>
              <w:bottom w:type="dxa" w:w="60"/>
              <w:right w:type="dxa" w:w="80"/>
            </w:tcMar>
          </w:tcPr>
          <w:p>
            <w:pPr>
              <w:jc w:val="center"/>
            </w:pPr>
            <w:r>
              <w:rPr>
                <w:rFonts w:ascii="Arial" w:cs="Arial" w:eastAsia="Arial" w:hAnsi="Arial"/>
                <w:color w:val="7D3C98"/>
                <w:sz w:val="18"/>
                <w:szCs w:val="18"/>
              </w:rPr>
              <w:t xml:space="preserve">Build</w:t>
            </w:r>
          </w:p>
        </w:tc>
        <w:tc>
          <w:tcPr>
            <w:tcW w:type="dxa" w:w="1560"/>
            <w:tcBorders>
              <w:top w:val="single" w:color="CCCCCC" w:sz="1"/>
              <w:left w:val="single" w:color="CCCCCC" w:sz="1"/>
              <w:bottom w:val="single" w:color="CCCCCC" w:sz="1"/>
              <w:right w:val="single" w:color="CCCCCC" w:sz="1"/>
            </w:tcBorders>
            <w:shd w:fill="E8DAEF" w:val="clear"/>
            <w:tcMar>
              <w:top w:type="dxa" w:w="60"/>
              <w:left w:type="dxa" w:w="80"/>
              <w:bottom w:type="dxa" w:w="60"/>
              <w:right w:type="dxa" w:w="80"/>
            </w:tcMar>
          </w:tcPr>
          <w:p>
            <w:r>
              <w:rPr>
                <w:rFonts w:ascii="Arial" w:cs="Arial" w:eastAsia="Arial" w:hAnsi="Arial"/>
                <w:b/>
                <w:bCs/>
                <w:color w:val="7D3C98"/>
                <w:sz w:val="18"/>
                <w:szCs w:val="18"/>
              </w:rPr>
              <w:t xml:space="preserve">Ages 11–12</w:t>
            </w:r>
          </w:p>
        </w:tc>
      </w:tr>
      <w:tr>
        <w:tc>
          <w:tcPr>
            <w:tcW w:type="dxa" w:w="15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A5276"/>
                <w:sz w:val="18"/>
                <w:szCs w:val="18"/>
              </w:rPr>
              <w:t xml:space="preserve">Build</w:t>
            </w:r>
          </w:p>
        </w:tc>
        <w:tc>
          <w:tcPr>
            <w:tcW w:type="dxa" w:w="15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A5276"/>
                <w:sz w:val="18"/>
                <w:szCs w:val="18"/>
              </w:rPr>
              <w:t xml:space="preserve">Build</w:t>
            </w:r>
          </w:p>
        </w:tc>
        <w:tc>
          <w:tcPr>
            <w:tcW w:type="dxa" w:w="15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A5276"/>
                <w:sz w:val="18"/>
                <w:szCs w:val="18"/>
              </w:rPr>
              <w:t xml:space="preserve">Build</w:t>
            </w:r>
          </w:p>
        </w:tc>
        <w:tc>
          <w:tcPr>
            <w:tcW w:type="dxa" w:w="15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A5276"/>
                <w:sz w:val="18"/>
                <w:szCs w:val="18"/>
              </w:rPr>
              <w:t xml:space="preserve">Build</w:t>
            </w:r>
          </w:p>
        </w:tc>
        <w:tc>
          <w:tcPr>
            <w:tcW w:type="dxa" w:w="15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color w:val="1A5276"/>
                <w:sz w:val="18"/>
                <w:szCs w:val="18"/>
              </w:rPr>
              <w:t xml:space="preserve">Build</w:t>
            </w:r>
          </w:p>
        </w:tc>
        <w:tc>
          <w:tcPr>
            <w:tcW w:type="dxa" w:w="156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rFonts w:ascii="Arial" w:cs="Arial" w:eastAsia="Arial" w:hAnsi="Arial"/>
                <w:b/>
                <w:bCs/>
                <w:color w:val="1A5276"/>
                <w:sz w:val="18"/>
                <w:szCs w:val="18"/>
              </w:rPr>
              <w:t xml:space="preserve">Ages 9–10</w:t>
            </w:r>
          </w:p>
        </w:tc>
      </w:tr>
      <w:tr>
        <w:tc>
          <w:tcPr>
            <w:tcW w:type="dxa" w:w="156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color w:val="B7770D"/>
                <w:sz w:val="18"/>
                <w:szCs w:val="18"/>
              </w:rPr>
              <w:t xml:space="preserve">Build</w:t>
            </w:r>
          </w:p>
        </w:tc>
        <w:tc>
          <w:tcPr>
            <w:tcW w:type="dxa" w:w="156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color w:val="B7770D"/>
                <w:sz w:val="18"/>
                <w:szCs w:val="18"/>
              </w:rPr>
              <w:t xml:space="preserve">Build</w:t>
            </w:r>
          </w:p>
        </w:tc>
        <w:tc>
          <w:tcPr>
            <w:tcW w:type="dxa" w:w="156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color w:val="B7770D"/>
                <w:sz w:val="18"/>
                <w:szCs w:val="18"/>
              </w:rPr>
              <w:t xml:space="preserve">Build</w:t>
            </w:r>
          </w:p>
        </w:tc>
        <w:tc>
          <w:tcPr>
            <w:tcW w:type="dxa" w:w="156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color w:val="B7770D"/>
                <w:sz w:val="18"/>
                <w:szCs w:val="18"/>
              </w:rPr>
              <w:t xml:space="preserve">Build</w:t>
            </w:r>
          </w:p>
        </w:tc>
        <w:tc>
          <w:tcPr>
            <w:tcW w:type="dxa" w:w="156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color w:val="B7770D"/>
                <w:sz w:val="18"/>
                <w:szCs w:val="18"/>
              </w:rPr>
              <w:t xml:space="preserve">Build</w:t>
            </w:r>
          </w:p>
        </w:tc>
        <w:tc>
          <w:tcPr>
            <w:tcW w:type="dxa" w:w="156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r>
              <w:rPr>
                <w:rFonts w:ascii="Arial" w:cs="Arial" w:eastAsia="Arial" w:hAnsi="Arial"/>
                <w:b/>
                <w:bCs/>
                <w:color w:val="B7770D"/>
                <w:sz w:val="18"/>
                <w:szCs w:val="18"/>
              </w:rPr>
              <w:t xml:space="preserve">Ages 7–8</w:t>
            </w:r>
          </w:p>
        </w:tc>
      </w:tr>
      <w:tr>
        <w:tc>
          <w:tcPr>
            <w:tcW w:type="dxa" w:w="15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1E8449"/>
                <w:sz w:val="18"/>
                <w:szCs w:val="18"/>
              </w:rPr>
              <w:t xml:space="preserve">Build</w:t>
            </w:r>
          </w:p>
        </w:tc>
        <w:tc>
          <w:tcPr>
            <w:tcW w:type="dxa" w:w="15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1E8449"/>
                <w:sz w:val="18"/>
                <w:szCs w:val="18"/>
              </w:rPr>
              <w:t xml:space="preserve">Build</w:t>
            </w:r>
          </w:p>
        </w:tc>
        <w:tc>
          <w:tcPr>
            <w:tcW w:type="dxa" w:w="15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1E8449"/>
                <w:sz w:val="18"/>
                <w:szCs w:val="18"/>
              </w:rPr>
              <w:t xml:space="preserve">Build</w:t>
            </w:r>
          </w:p>
        </w:tc>
        <w:tc>
          <w:tcPr>
            <w:tcW w:type="dxa" w:w="15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1E8449"/>
                <w:sz w:val="18"/>
                <w:szCs w:val="18"/>
              </w:rPr>
              <w:t xml:space="preserve">Build</w:t>
            </w:r>
          </w:p>
        </w:tc>
        <w:tc>
          <w:tcPr>
            <w:tcW w:type="dxa" w:w="15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color w:val="1E8449"/>
                <w:sz w:val="18"/>
                <w:szCs w:val="18"/>
              </w:rPr>
              <w:t xml:space="preserve">Build</w:t>
            </w:r>
          </w:p>
        </w:tc>
        <w:tc>
          <w:tcPr>
            <w:tcW w:type="dxa" w:w="15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bCs/>
                <w:color w:val="1E8449"/>
                <w:sz w:val="18"/>
                <w:szCs w:val="18"/>
              </w:rPr>
              <w:t xml:space="preserve">Ages 5–6</w:t>
            </w:r>
          </w:p>
        </w:tc>
      </w:tr>
    </w:tbl>
    <w:p>
      <w:pPr>
        <w:spacing w:after="0" w:before="160"/>
      </w:pPr>
      <w:r>
        <w:t xml:space="preserve"/>
      </w:r>
    </w:p>
    <w:p>
      <w:pPr>
        <w:spacing w:after="120" w:before="60"/>
      </w:pPr>
      <w:r>
        <w:rPr>
          <w:rFonts w:ascii="Arial" w:cs="Arial" w:eastAsia="Arial" w:hAnsi="Arial"/>
          <w:i/>
          <w:iCs/>
          <w:sz w:val="22"/>
          <w:szCs w:val="22"/>
        </w:rPr>
        <w:t xml:space="preserve">Recommended build order: Start with 16–18 (master), then 5–6 (forces simplification), then fill in middle groups. This prevents over-complicating the younger content.</w:t>
      </w:r>
    </w:p>
    <w:p>
      <w:pPr>
        <w:pBdr>
          <w:bottom w:val="single" w:color="CCCCCC" w:sz="4" w:space="1"/>
        </w:pBdr>
        <w:spacing w:after="200" w:before="20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9933A" w:val="clear"/>
            <w:tcMar>
              <w:top w:type="dxa" w:w="120"/>
              <w:left w:type="dxa" w:w="180"/>
              <w:bottom w:type="dxa" w:w="120"/>
              <w:right w:type="dxa" w:w="180"/>
            </w:tcMar>
          </w:tcPr>
          <w:p>
            <w:r>
              <w:rPr>
                <w:rFonts w:ascii="Arial" w:cs="Arial" w:eastAsia="Arial" w:hAnsi="Arial"/>
                <w:b/>
                <w:bCs/>
                <w:color w:val="0A0F1A"/>
                <w:sz w:val="22"/>
                <w:szCs w:val="22"/>
              </w:rPr>
              <w:t xml:space="preserve">Next Step: Confirm this plan, then begin Phase 1 — rebuild Ages 16–18 as the Master Content Set.</w:t>
            </w:r>
          </w:p>
        </w:tc>
      </w:tr>
    </w:tbl>
    <w:p>
      <w:pPr>
        <w:spacing w:after="0" w:before="80"/>
      </w:pPr>
      <w:r>
        <w:t xml:space="preserve"/>
      </w:r>
    </w:p>
    <w:p>
      <w:pPr>
        <w:spacing w:after="120" w:before="60"/>
      </w:pPr>
      <w:r>
        <w:rPr>
          <w:rFonts w:ascii="Arial" w:cs="Arial" w:eastAsia="Arial" w:hAnsi="Arial"/>
          <w:i/>
          <w:iCs/>
          <w:color w:val="6B82A8"/>
          <w:sz w:val="22"/>
          <w:szCs w:val="22"/>
        </w:rPr>
        <w:t xml:space="preserve">Document version 1.0  |  PlayAGame.ai™  |  AESOP AI Academy for Youth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540"/>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2540"/>
      <w:sz w:val="32"/>
      <w:szCs w:val="32"/>
    </w:rPr>
  </w:style>
  <w:style w:type="paragraph" w:styleId="Heading3">
    <w:name w:val="Heading 3"/>
    <w:basedOn w:val="Normal"/>
    <w:next w:val="Normal"/>
    <w:qFormat/>
    <w:pPr>
      <w:spacing w:after="100" w:before="200"/>
      <w:outlineLvl w:val="2"/>
    </w:pPr>
    <w:rPr>
      <w:rFonts w:ascii="Arial" w:cs="Arial" w:eastAsia="Arial" w:hAnsi="Arial"/>
      <w:b/>
      <w:bCs/>
      <w:color w:val="1A7A6E"/>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2026-04-03T16:16:56.854Z</dcterms:created>
  <dcterms:modified xsi:type="dcterms:W3CDTF">2026-04-03T16:16:56.855Z</dcterms:modified>
</cp:coreProperties>
</file>

<file path=docProps/custom.xml><?xml version="1.0" encoding="utf-8"?>
<Properties xmlns="http://schemas.openxmlformats.org/officeDocument/2006/custom-properties" xmlns:vt="http://schemas.openxmlformats.org/officeDocument/2006/docPropsVTypes"/>
</file>