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0D1F2D"/>
          <w:sz w:val="56"/>
          <w:szCs w:val="56"/>
        </w:rPr>
        <w:t xml:space="preserve">AESOP AI Academy</w:t>
      </w:r>
    </w:p>
    <w:p>
      <w:pPr>
        <w:spacing w:after="60" w:before="0"/>
        <w:jc w:val="center"/>
      </w:pPr>
      <w:r>
        <w:rPr>
          <w:rFonts w:ascii="Arial" w:cs="Arial" w:eastAsia="Arial" w:hAnsi="Arial"/>
          <w:b/>
          <w:bCs/>
          <w:color w:val="1A8080"/>
          <w:sz w:val="36"/>
          <w:szCs w:val="36"/>
        </w:rPr>
        <w:t xml:space="preserve">Multi-LLM Panel Review</w:t>
      </w:r>
    </w:p>
    <w:p>
      <w:pPr>
        <w:spacing w:after="240" w:before="0"/>
        <w:jc w:val="center"/>
      </w:pPr>
      <w:r>
        <w:rPr>
          <w:rFonts w:ascii="Arial" w:cs="Arial" w:eastAsia="Arial" w:hAnsi="Arial"/>
          <w:color w:val="C8A84B"/>
          <w:sz w:val="28"/>
          <w:szCs w:val="28"/>
        </w:rPr>
        <w:t xml:space="preserve">Findings Analysis &amp; Improvement Proposal</w:t>
      </w:r>
    </w:p>
    <w:p>
      <w:pPr>
        <w:pBdr>
          <w:bottom w:val="single" w:color="1A8080" w:sz="6" w:space="1"/>
        </w:pBdr>
        <w:spacing w:after="60" w:before="60"/>
      </w:pPr>
      <w:r>
        <w:t xml:space="preserve"/>
      </w:r>
    </w:p>
    <w:p>
      <w:pPr>
        <w:spacing w:after="60" w:before="120"/>
        <w:jc w:val="center"/>
      </w:pPr>
      <w:r>
        <w:rPr>
          <w:rFonts w:ascii="Arial" w:cs="Arial" w:eastAsia="Arial" w:hAnsi="Arial"/>
          <w:i/>
          <w:iCs/>
          <w:color w:val="555555"/>
          <w:sz w:val="22"/>
          <w:szCs w:val="22"/>
        </w:rPr>
        <w:t xml:space="preserve">Module 1 — Advanced Course Review  |  April 2026</w:t>
      </w:r>
    </w:p>
    <w:p>
      <w:pPr>
        <w:spacing w:after="480" w:before="0"/>
        <w:jc w:val="center"/>
      </w:pPr>
      <w:r>
        <w:rPr>
          <w:rFonts w:ascii="Arial" w:cs="Arial" w:eastAsia="Arial" w:hAnsi="Arial"/>
          <w:color w:val="888888"/>
          <w:sz w:val="20"/>
          <w:szCs w:val="20"/>
        </w:rPr>
        <w:t xml:space="preserve">Prepared by: PlayAGame.ai™  |  Patent Pending App #64/018,565</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1A8080" w:sz="1"/>
              <w:left w:val="single" w:color="1A8080" w:sz="1"/>
              <w:bottom w:val="single" w:color="1A8080" w:sz="1"/>
              <w:right w:val="single" w:color="1A8080" w:sz="1"/>
            </w:tcBorders>
            <w:shd w:fill="EAF4F4" w:val="clear"/>
            <w:tcMar>
              <w:top w:type="dxa" w:w="200"/>
              <w:left w:type="dxa" w:w="300"/>
              <w:bottom w:type="dxa" w:w="200"/>
              <w:right w:type="dxa" w:w="300"/>
            </w:tcMar>
          </w:tcPr>
          <w:p>
            <w:pPr>
              <w:jc w:val="center"/>
            </w:pPr>
            <w:r>
              <w:rPr>
                <w:rFonts w:ascii="Arial" w:cs="Arial" w:eastAsia="Arial" w:hAnsi="Arial"/>
                <w:b/>
                <w:bCs/>
                <w:color w:val="1A8080"/>
                <w:sz w:val="28"/>
                <w:szCs w:val="28"/>
              </w:rPr>
              <w:t xml:space="preserve">PANEL VERDICT:  PASS  (Avg 83.5/100)</w:t>
            </w:r>
          </w:p>
          <w:p>
            <w:pPr>
              <w:spacing w:after="80" w:before="0"/>
            </w:pPr>
            <w:r>
              <w:t xml:space="preserve"/>
            </w:r>
          </w:p>
          <w:p>
            <w:pPr>
              <w:jc w:val="center"/>
            </w:pPr>
            <w:r>
              <w:rPr>
                <w:rFonts w:ascii="Arial" w:cs="Arial" w:eastAsia="Arial" w:hAnsi="Arial"/>
                <w:i/>
                <w:iCs/>
                <w:color w:val="0D1F2D"/>
                <w:sz w:val="22"/>
                <w:szCs w:val="22"/>
              </w:rPr>
              <w:t xml:space="preserve">4 of 4 reviewers pass. All D5 override gates clear. Strong structural foundation confirmed.</w:t>
            </w:r>
          </w:p>
        </w:tc>
      </w:tr>
    </w:tbl>
    <w:p>
      <w:pPr>
        <w:spacing w:after="240" w:before="0"/>
      </w:pPr>
      <w:r>
        <w:t xml:space="preserve"/>
      </w:r>
    </w:p>
    <w:p>
      <w:pPr>
        <w:pStyle w:val="Heading1"/>
        <w:spacing w:after="120" w:before="360"/>
      </w:pPr>
      <w:r>
        <w:rPr>
          <w:rFonts w:ascii="Arial" w:cs="Arial" w:eastAsia="Arial" w:hAnsi="Arial"/>
          <w:b/>
          <w:bCs/>
          <w:color w:val="0D1F2D"/>
        </w:rPr>
        <w:t xml:space="preserve">1. Panel Score Summary</w:t>
      </w:r>
    </w:p>
    <w:p>
      <w:pPr>
        <w:spacing w:after="120" w:before="0"/>
      </w:pPr>
      <w:r>
        <w:rPr>
          <w:rFonts w:ascii="Arial" w:cs="Arial" w:eastAsia="Arial" w:hAnsi="Arial"/>
          <w:sz w:val="22"/>
          <w:szCs w:val="22"/>
        </w:rPr>
        <w:t xml:space="preserve">The following table presents raw dimension scores from all four reviewers against the AESOP rubric (100-point scale). Dimension weightings: D1 Narrative Integrity=25pts, D2 Concept Accuracy=20pts, D3 Age Differentiation=20pts, D4 Delivery Architecture=15pts, D5 Assessment &amp; Lab Design=20pts.</w:t>
      </w:r>
    </w:p>
    <w:p>
      <w:pPr>
        <w:spacing w:after="12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40"/>
        <w:gridCol w:w="1440"/>
        <w:gridCol w:w="1440"/>
        <w:gridCol w:w="1440"/>
        <w:gridCol w:w="1440"/>
        <w:gridCol w:w="1440"/>
        <w:gridCol w:w="480"/>
      </w:tblGrid>
      <w:tr>
        <w:trPr>
          <w:tblHeader/>
        </w:trPr>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r>
              <w:rPr>
                <w:rFonts w:ascii="Arial" w:cs="Arial" w:eastAsia="Arial" w:hAnsi="Arial"/>
                <w:b/>
                <w:bCs/>
                <w:color w:val="FFFFFF"/>
                <w:sz w:val="20"/>
                <w:szCs w:val="20"/>
              </w:rPr>
              <w:t xml:space="preserve">Reviewer / Role</w:t>
            </w:r>
          </w:p>
        </w:tc>
        <w:tc>
          <w:tcPr>
            <w:tcW w:type="dxa" w:w="1440"/>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Narrative
/25</w:t>
            </w:r>
          </w:p>
        </w:tc>
        <w:tc>
          <w:tcPr>
            <w:tcW w:type="dxa" w:w="1440"/>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Concept
/20</w:t>
            </w:r>
          </w:p>
        </w:tc>
        <w:tc>
          <w:tcPr>
            <w:tcW w:type="dxa" w:w="1440"/>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Differentia-
tion /20</w:t>
            </w:r>
          </w:p>
        </w:tc>
        <w:tc>
          <w:tcPr>
            <w:tcW w:type="dxa" w:w="1440"/>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Delivery
/15</w:t>
            </w:r>
          </w:p>
        </w:tc>
        <w:tc>
          <w:tcPr>
            <w:tcW w:type="dxa" w:w="1440"/>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Assessment
/20</w:t>
            </w:r>
          </w:p>
        </w:tc>
        <w:tc>
          <w:tcPr>
            <w:tcW w:type="dxa" w:w="480"/>
            <w:tcBorders>
              <w:top w:val="single" w:color="0D1F2D" w:sz="1"/>
              <w:left w:val="single" w:color="0D1F2D" w:sz="1"/>
              <w:bottom w:val="single" w:color="0D1F2D" w:sz="1"/>
              <w:right w:val="single" w:color="0D1F2D" w:sz="1"/>
            </w:tcBorders>
            <w:shd w:fill="C8A84B" w:val="clear"/>
            <w:tcMar>
              <w:top w:type="dxa" w:w="80"/>
              <w:left w:type="dxa" w:w="120"/>
              <w:bottom w:type="dxa" w:w="80"/>
              <w:right w:type="dxa" w:w="120"/>
            </w:tcMar>
          </w:tcPr>
          <w:p>
            <w:pPr>
              <w:jc w:val="center"/>
            </w:pPr>
            <w:r>
              <w:rPr>
                <w:rFonts w:ascii="Arial" w:cs="Arial" w:eastAsia="Arial" w:hAnsi="Arial"/>
                <w:b/>
                <w:bCs/>
                <w:color w:val="0D1F2D"/>
                <w:sz w:val="20"/>
                <w:szCs w:val="20"/>
              </w:rPr>
              <w:t xml:space="preserve">Total</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F2D"/>
                <w:sz w:val="20"/>
                <w:szCs w:val="20"/>
              </w:rPr>
              <w:t xml:space="preserve">Claude (Narrative Integrity)</w:t>
            </w:r>
          </w:p>
        </w:tc>
        <w:tc>
          <w:tcPr>
            <w:tcW w:type="dxa" w:w="14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color w:val="0D1F2D"/>
                <w:sz w:val="20"/>
                <w:szCs w:val="20"/>
              </w:rPr>
              <w:t xml:space="preserve">22/25</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0D1F2D"/>
                <w:sz w:val="20"/>
                <w:szCs w:val="20"/>
              </w:rPr>
              <w:t xml:space="preserve">20/20</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0D1F2D"/>
                <w:sz w:val="20"/>
                <w:szCs w:val="20"/>
              </w:rPr>
              <w:t xml:space="preserve">20/20</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0D1F2D"/>
                <w:sz w:val="20"/>
                <w:szCs w:val="20"/>
              </w:rPr>
              <w:t xml:space="preserve">14/15</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0D1F2D"/>
                <w:sz w:val="20"/>
                <w:szCs w:val="20"/>
              </w:rPr>
              <w:t xml:space="preserve">19/20</w:t>
            </w:r>
          </w:p>
        </w:tc>
        <w:tc>
          <w:tcPr>
            <w:tcW w:type="dxa" w:w="4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0D1F2D"/>
                <w:sz w:val="22"/>
                <w:szCs w:val="22"/>
              </w:rPr>
              <w:t xml:space="preserve">95</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F2D"/>
                <w:sz w:val="20"/>
                <w:szCs w:val="20"/>
              </w:rPr>
              <w:t xml:space="preserve">Gemini (Technical Accuracy)</w:t>
            </w:r>
          </w:p>
        </w:tc>
        <w:tc>
          <w:tcPr>
            <w:tcW w:type="dxa" w:w="14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color w:val="0D1F2D"/>
                <w:sz w:val="20"/>
                <w:szCs w:val="20"/>
              </w:rPr>
              <w:t xml:space="preserve">20/25</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0D1F2D"/>
                <w:sz w:val="20"/>
                <w:szCs w:val="20"/>
              </w:rPr>
              <w:t xml:space="preserve">18/20</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0D1F2D"/>
                <w:sz w:val="20"/>
                <w:szCs w:val="20"/>
              </w:rPr>
              <w:t xml:space="preserve">19/20</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0D1F2D"/>
                <w:sz w:val="20"/>
                <w:szCs w:val="20"/>
              </w:rPr>
              <w:t xml:space="preserve">14/15</w:t>
            </w:r>
          </w:p>
        </w:tc>
        <w:tc>
          <w:tcPr>
            <w:tcW w:type="dxa" w:w="14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color w:val="0D1F2D"/>
                <w:sz w:val="20"/>
                <w:szCs w:val="20"/>
              </w:rPr>
              <w:t xml:space="preserve">15/20</w:t>
            </w:r>
          </w:p>
        </w:tc>
        <w:tc>
          <w:tcPr>
            <w:tcW w:type="dxa" w:w="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0D1F2D"/>
                <w:sz w:val="22"/>
                <w:szCs w:val="22"/>
              </w:rPr>
              <w:t xml:space="preserve">86</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F2D"/>
                <w:sz w:val="20"/>
                <w:szCs w:val="20"/>
              </w:rPr>
              <w:t xml:space="preserve">ChatGPT (Learner Experience)</w:t>
            </w:r>
          </w:p>
        </w:tc>
        <w:tc>
          <w:tcPr>
            <w:tcW w:type="dxa" w:w="14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0D1F2D"/>
                <w:sz w:val="20"/>
                <w:szCs w:val="20"/>
              </w:rPr>
              <w:t xml:space="preserve">17/25</w:t>
            </w:r>
          </w:p>
        </w:tc>
        <w:tc>
          <w:tcPr>
            <w:tcW w:type="dxa" w:w="14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color w:val="0D1F2D"/>
                <w:sz w:val="20"/>
                <w:szCs w:val="20"/>
              </w:rPr>
              <w:t xml:space="preserve">17/20</w:t>
            </w:r>
          </w:p>
        </w:tc>
        <w:tc>
          <w:tcPr>
            <w:tcW w:type="dxa" w:w="14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0D1F2D"/>
                <w:sz w:val="20"/>
                <w:szCs w:val="20"/>
              </w:rPr>
              <w:t xml:space="preserve">14/20</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0D1F2D"/>
                <w:sz w:val="20"/>
                <w:szCs w:val="20"/>
              </w:rPr>
              <w:t xml:space="preserve">15/15</w:t>
            </w:r>
          </w:p>
        </w:tc>
        <w:tc>
          <w:tcPr>
            <w:tcW w:type="dxa" w:w="14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0D1F2D"/>
                <w:sz w:val="20"/>
                <w:szCs w:val="20"/>
              </w:rPr>
              <w:t xml:space="preserve">14/20</w:t>
            </w:r>
          </w:p>
        </w:tc>
        <w:tc>
          <w:tcPr>
            <w:tcW w:type="dxa" w:w="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0D1F2D"/>
                <w:sz w:val="22"/>
                <w:szCs w:val="22"/>
              </w:rPr>
              <w:t xml:space="preserve">77</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F2D"/>
                <w:sz w:val="20"/>
                <w:szCs w:val="20"/>
              </w:rPr>
              <w:t xml:space="preserve">Perplexity (Real-World Align.)</w:t>
            </w:r>
          </w:p>
        </w:tc>
        <w:tc>
          <w:tcPr>
            <w:tcW w:type="dxa" w:w="14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color w:val="0D1F2D"/>
                <w:sz w:val="20"/>
                <w:szCs w:val="20"/>
              </w:rPr>
              <w:t xml:space="preserve">19/25</w:t>
            </w:r>
          </w:p>
        </w:tc>
        <w:tc>
          <w:tcPr>
            <w:tcW w:type="dxa" w:w="14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0D1F2D"/>
                <w:sz w:val="20"/>
                <w:szCs w:val="20"/>
              </w:rPr>
              <w:t xml:space="preserve">12/20</w:t>
            </w:r>
          </w:p>
        </w:tc>
        <w:tc>
          <w:tcPr>
            <w:tcW w:type="dxa" w:w="14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0D1F2D"/>
                <w:sz w:val="20"/>
                <w:szCs w:val="20"/>
              </w:rPr>
              <w:t xml:space="preserve">19/20</w:t>
            </w:r>
          </w:p>
        </w:tc>
        <w:tc>
          <w:tcPr>
            <w:tcW w:type="dxa" w:w="14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color w:val="0D1F2D"/>
                <w:sz w:val="20"/>
                <w:szCs w:val="20"/>
              </w:rPr>
              <w:t xml:space="preserve">12/15</w:t>
            </w:r>
          </w:p>
        </w:tc>
        <w:tc>
          <w:tcPr>
            <w:tcW w:type="dxa" w:w="14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color w:val="0D1F2D"/>
                <w:sz w:val="20"/>
                <w:szCs w:val="20"/>
              </w:rPr>
              <w:t xml:space="preserve">14/20</w:t>
            </w:r>
          </w:p>
        </w:tc>
        <w:tc>
          <w:tcPr>
            <w:tcW w:type="dxa" w:w="4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0D1F2D"/>
                <w:sz w:val="22"/>
                <w:szCs w:val="22"/>
              </w:rPr>
              <w:t xml:space="preserve">76</w:t>
            </w:r>
          </w:p>
        </w:tc>
      </w:tr>
      <w:tr>
        <w:tc>
          <w:tcPr>
            <w:tcW w:type="dxa" w:w="2640"/>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r>
              <w:rPr>
                <w:rFonts w:ascii="Arial" w:cs="Arial" w:eastAsia="Arial" w:hAnsi="Arial"/>
                <w:b/>
                <w:bCs/>
                <w:color w:val="1A8080"/>
                <w:sz w:val="20"/>
                <w:szCs w:val="20"/>
              </w:rPr>
              <w:t xml:space="preserve">Panel Average</w:t>
            </w:r>
          </w:p>
        </w:tc>
        <w:tc>
          <w:tcPr>
            <w:tcW w:type="dxa" w:w="1440"/>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19.5</w:t>
            </w:r>
          </w:p>
        </w:tc>
        <w:tc>
          <w:tcPr>
            <w:tcW w:type="dxa" w:w="1440"/>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16.8</w:t>
            </w:r>
          </w:p>
        </w:tc>
        <w:tc>
          <w:tcPr>
            <w:tcW w:type="dxa" w:w="1440"/>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18.0</w:t>
            </w:r>
          </w:p>
        </w:tc>
        <w:tc>
          <w:tcPr>
            <w:tcW w:type="dxa" w:w="1440"/>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13.8</w:t>
            </w:r>
          </w:p>
        </w:tc>
        <w:tc>
          <w:tcPr>
            <w:tcW w:type="dxa" w:w="1440"/>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15.5</w:t>
            </w:r>
          </w:p>
        </w:tc>
        <w:tc>
          <w:tcPr>
            <w:tcW w:type="dxa" w:w="480"/>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pPr>
              <w:jc w:val="center"/>
            </w:pPr>
            <w:r>
              <w:rPr>
                <w:rFonts w:ascii="Arial" w:cs="Arial" w:eastAsia="Arial" w:hAnsi="Arial"/>
                <w:b/>
                <w:bCs/>
                <w:color w:val="1A8080"/>
                <w:sz w:val="22"/>
                <w:szCs w:val="22"/>
              </w:rPr>
              <w:t xml:space="preserve">83.5</w:t>
            </w:r>
          </w:p>
        </w:tc>
      </w:tr>
    </w:tbl>
    <w:p>
      <w:pPr>
        <w:spacing w:after="80" w:before="0"/>
      </w:pPr>
      <w:r>
        <w:t xml:space="preserve"/>
      </w:r>
    </w:p>
    <w:p>
      <w:pPr>
        <w:spacing w:after="120" w:before="0"/>
      </w:pPr>
      <w:r>
        <w:rPr>
          <w:rFonts w:ascii="Arial" w:cs="Arial" w:eastAsia="Arial" w:hAnsi="Arial"/>
          <w:i/>
          <w:iCs/>
          <w:color w:val="555555"/>
          <w:sz w:val="18"/>
          <w:szCs w:val="18"/>
        </w:rPr>
        <w:t xml:space="preserve">Color key:  </w:t>
      </w:r>
      <w:r>
        <w:rPr>
          <w:rFonts w:ascii="Arial" w:cs="Arial" w:eastAsia="Arial" w:hAnsi="Arial"/>
          <w:color w:val="2E7D32"/>
          <w:sz w:val="18"/>
          <w:szCs w:val="18"/>
        </w:rPr>
        <w:t xml:space="preserve">  ≥90%  </w:t>
      </w:r>
      <w:r>
        <w:rPr>
          <w:rFonts w:ascii="Arial" w:cs="Arial" w:eastAsia="Arial" w:hAnsi="Arial"/>
          <w:color w:val="555555"/>
          <w:sz w:val="18"/>
          <w:szCs w:val="18"/>
        </w:rPr>
        <w:t xml:space="preserve"> Strong  </w:t>
      </w:r>
      <w:r>
        <w:rPr>
          <w:rFonts w:ascii="Arial" w:cs="Arial" w:eastAsia="Arial" w:hAnsi="Arial"/>
          <w:color w:val="E65100"/>
          <w:sz w:val="18"/>
          <w:szCs w:val="18"/>
        </w:rPr>
        <w:t xml:space="preserve">  75–89%  </w:t>
      </w:r>
      <w:r>
        <w:rPr>
          <w:rFonts w:ascii="Arial" w:cs="Arial" w:eastAsia="Arial" w:hAnsi="Arial"/>
          <w:color w:val="555555"/>
          <w:sz w:val="18"/>
          <w:szCs w:val="18"/>
        </w:rPr>
        <w:t xml:space="preserve"> Adequate  </w:t>
      </w:r>
      <w:r>
        <w:rPr>
          <w:rFonts w:ascii="Arial" w:cs="Arial" w:eastAsia="Arial" w:hAnsi="Arial"/>
          <w:color w:val="C62828"/>
          <w:sz w:val="18"/>
          <w:szCs w:val="18"/>
        </w:rPr>
        <w:t xml:space="preserve">  &lt;75%  </w:t>
      </w:r>
      <w:r>
        <w:rPr>
          <w:rFonts w:ascii="Arial" w:cs="Arial" w:eastAsia="Arial" w:hAnsi="Arial"/>
          <w:color w:val="555555"/>
          <w:sz w:val="18"/>
          <w:szCs w:val="18"/>
        </w:rPr>
        <w:t xml:space="preserve"> Needs Attention</w:t>
      </w:r>
    </w:p>
    <w:p>
      <w:pPr>
        <w:spacing w:after="160" w:before="0"/>
      </w:pPr>
      <w:r>
        <w:t xml:space="preserve"/>
      </w:r>
    </w:p>
    <w:p>
      <w:pPr>
        <w:pStyle w:val="Heading1"/>
        <w:spacing w:after="120" w:before="360"/>
      </w:pPr>
      <w:r>
        <w:rPr>
          <w:rFonts w:ascii="Arial" w:cs="Arial" w:eastAsia="Arial" w:hAnsi="Arial"/>
          <w:b/>
          <w:bCs/>
          <w:color w:val="0D1F2D"/>
        </w:rPr>
        <w:t xml:space="preserve">2. Dimension-by-Dimension Findings</w:t>
      </w:r>
    </w:p>
    <w:p>
      <w:pPr>
        <w:pStyle w:val="Heading2"/>
        <w:spacing w:after="80" w:before="240"/>
      </w:pPr>
      <w:r>
        <w:rPr>
          <w:rFonts w:ascii="Arial" w:cs="Arial" w:eastAsia="Arial" w:hAnsi="Arial"/>
          <w:b/>
          <w:bCs/>
          <w:color w:val="1A8080"/>
        </w:rPr>
        <w:t xml:space="preserve">D1 — Narrative Integrity  (Panel Avg: 19.5/25 = 78%)</w:t>
      </w:r>
    </w:p>
    <w:p>
      <w:pPr>
        <w:spacing w:after="120" w:before="0"/>
      </w:pPr>
      <w:r>
        <w:rPr>
          <w:rFonts w:ascii="Arial" w:cs="Arial" w:eastAsia="Arial" w:hAnsi="Arial"/>
          <w:sz w:val="22"/>
          <w:szCs w:val="22"/>
        </w:rPr>
        <w:t xml:space="preserve">What the panel agreed on:</w:t>
      </w:r>
    </w:p>
    <w:p>
      <w:pPr>
        <w:pStyle w:val="ListParagraph"/>
        <w:numPr>
          <w:ilvl w:val="0"/>
          <w:numId w:val="2"/>
        </w:numPr>
        <w:spacing w:after="60" w:before="0"/>
        <w:ind w:left="720" w:hanging="360"/>
      </w:pPr>
      <w:r>
        <w:rPr>
          <w:rFonts w:ascii="Arial" w:cs="Arial" w:eastAsia="Arial" w:hAnsi="Arial"/>
          <w:sz w:val="22"/>
          <w:szCs w:val="22"/>
        </w:rPr>
        <w:t xml:space="preserve">Claude scored highest (22/25) — real documented cases (LaMDA, Schwartz, OpenAI governance) are genuinely load-bearing; story creates the conceptual question each lesson answers.</w:t>
      </w:r>
    </w:p>
    <w:p>
      <w:pPr>
        <w:pStyle w:val="ListParagraph"/>
        <w:numPr>
          <w:ilvl w:val="0"/>
          <w:numId w:val="2"/>
        </w:numPr>
        <w:spacing w:after="60" w:before="0"/>
        <w:ind w:left="720" w:hanging="360"/>
      </w:pPr>
      <w:r>
        <w:rPr>
          <w:rFonts w:ascii="Arial" w:cs="Arial" w:eastAsia="Arial" w:hAnsi="Arial"/>
          <w:sz w:val="22"/>
          <w:szCs w:val="22"/>
        </w:rPr>
        <w:t xml:space="preserve">Perplexity (19/25) acknowledged strong problem framing but flagged a critical distinction: the rubric "describes rather than dramatizes" — stories present situations but don't always let the learner feel the stakes before the concept is introduced.</w:t>
      </w:r>
    </w:p>
    <w:p>
      <w:pPr>
        <w:pStyle w:val="ListParagraph"/>
        <w:numPr>
          <w:ilvl w:val="0"/>
          <w:numId w:val="2"/>
        </w:numPr>
        <w:spacing w:after="60" w:before="0"/>
        <w:ind w:left="720" w:hanging="360"/>
      </w:pPr>
      <w:r>
        <w:rPr>
          <w:rFonts w:ascii="Arial" w:cs="Arial" w:eastAsia="Arial" w:hAnsi="Arial"/>
          <w:sz w:val="22"/>
          <w:szCs w:val="22"/>
        </w:rPr>
        <w:t xml:space="preserve">ChatGPT scored lowest (17/25) and specifically flagged inconsistent character continuity across lessons and moments where the narrative arc resets rather than builds cumulatively.</w:t>
      </w:r>
    </w:p>
    <w:p>
      <w:pPr>
        <w:pStyle w:val="ListParagraph"/>
        <w:numPr>
          <w:ilvl w:val="0"/>
          <w:numId w:val="2"/>
        </w:numPr>
        <w:spacing w:after="60" w:before="0"/>
        <w:ind w:left="720" w:hanging="360"/>
      </w:pPr>
      <w:r>
        <w:rPr>
          <w:rFonts w:ascii="Arial" w:cs="Arial" w:eastAsia="Arial" w:hAnsi="Arial"/>
          <w:sz w:val="22"/>
          <w:szCs w:val="22"/>
        </w:rPr>
        <w:t xml:space="preserve">Gemini (20/25) praised engagement via Library/Librarian analogies but called for more "Action-Challenges" that give the learner active narrative agency, not just observation.</w:t>
      </w:r>
    </w:p>
    <w:p>
      <w:pPr>
        <w:spacing w:after="80" w:before="0"/>
      </w:pPr>
      <w:r>
        <w:t xml:space="preserve"/>
      </w:r>
    </w:p>
    <w:p>
      <w:pPr>
        <w:spacing w:after="120" w:before="0"/>
      </w:pPr>
      <w:r>
        <w:rPr>
          <w:rFonts w:ascii="Arial" w:cs="Arial" w:eastAsia="Arial" w:hAnsi="Arial"/>
          <w:sz w:val="22"/>
          <w:szCs w:val="22"/>
        </w:rPr>
        <w:t xml:space="preserve">Convergent weakness identified by 3 of 4 reviewers:</w:t>
      </w:r>
    </w:p>
    <w:p>
      <w:pPr>
        <w:pStyle w:val="ListParagraph"/>
        <w:numPr>
          <w:ilvl w:val="0"/>
          <w:numId w:val="2"/>
        </w:numPr>
        <w:spacing w:after="60" w:before="0"/>
        <w:ind w:left="720" w:hanging="360"/>
      </w:pPr>
      <w:r>
        <w:rPr>
          <w:rFonts w:ascii="Arial" w:cs="Arial" w:eastAsia="Arial" w:hAnsi="Arial"/>
          <w:sz w:val="22"/>
          <w:szCs w:val="22"/>
        </w:rPr>
        <w:t xml:space="preserve">Story introduces the problem but doesn't always let the learner sit inside the problem long enough before the concept resolves it. The AESOP core principle — "story creates the problem" — is present architecturally but unevenly executed at the scene level.</w:t>
      </w:r>
    </w:p>
    <w:p>
      <w:pPr>
        <w:spacing w:after="120" w:before="0"/>
      </w:pPr>
      <w:r>
        <w:t xml:space="preserve"/>
      </w:r>
    </w:p>
    <w:p>
      <w:pPr>
        <w:pStyle w:val="Heading2"/>
        <w:spacing w:after="80" w:before="240"/>
      </w:pPr>
      <w:r>
        <w:rPr>
          <w:rFonts w:ascii="Arial" w:cs="Arial" w:eastAsia="Arial" w:hAnsi="Arial"/>
          <w:b/>
          <w:bCs/>
          <w:color w:val="1A8080"/>
        </w:rPr>
        <w:t xml:space="preserve">D2 — Concept Accuracy  (Panel Avg: 16.75/20 = 84%)</w:t>
      </w:r>
    </w:p>
    <w:p>
      <w:pPr>
        <w:spacing w:after="120" w:before="0"/>
      </w:pPr>
      <w:r>
        <w:rPr>
          <w:rFonts w:ascii="Arial" w:cs="Arial" w:eastAsia="Arial" w:hAnsi="Arial"/>
          <w:sz w:val="22"/>
          <w:szCs w:val="22"/>
        </w:rPr>
        <w:t xml:space="preserve">What the panel agreed on:</w:t>
      </w:r>
    </w:p>
    <w:p>
      <w:pPr>
        <w:pStyle w:val="ListParagraph"/>
        <w:numPr>
          <w:ilvl w:val="0"/>
          <w:numId w:val="2"/>
        </w:numPr>
        <w:spacing w:after="60" w:before="0"/>
        <w:ind w:left="720" w:hanging="360"/>
      </w:pPr>
      <w:r>
        <w:rPr>
          <w:rFonts w:ascii="Arial" w:cs="Arial" w:eastAsia="Arial" w:hAnsi="Arial"/>
          <w:sz w:val="22"/>
          <w:szCs w:val="22"/>
        </w:rPr>
        <w:t xml:space="preserve">Claude scored 20/20 — all definitions precise and correct at Advanced depth; documented case attributions are accurate throughout.</w:t>
      </w:r>
    </w:p>
    <w:p>
      <w:pPr>
        <w:pStyle w:val="ListParagraph"/>
        <w:numPr>
          <w:ilvl w:val="0"/>
          <w:numId w:val="2"/>
        </w:numPr>
        <w:spacing w:after="60" w:before="0"/>
        <w:ind w:left="720" w:hanging="360"/>
      </w:pPr>
      <w:r>
        <w:rPr>
          <w:rFonts w:ascii="Arial" w:cs="Arial" w:eastAsia="Arial" w:hAnsi="Arial"/>
          <w:sz w:val="22"/>
          <w:szCs w:val="22"/>
        </w:rPr>
        <w:t xml:space="preserve">Gemini (18/20) confirmed technical definitions of tokens and inference are current and precise; noted ethics/bias coverage as expandable.</w:t>
      </w:r>
    </w:p>
    <w:p>
      <w:pPr>
        <w:pStyle w:val="ListParagraph"/>
        <w:numPr>
          <w:ilvl w:val="0"/>
          <w:numId w:val="2"/>
        </w:numPr>
        <w:spacing w:after="60" w:before="0"/>
        <w:ind w:left="720" w:hanging="360"/>
      </w:pPr>
      <w:r>
        <w:rPr>
          <w:rFonts w:ascii="Arial" w:cs="Arial" w:eastAsia="Arial" w:hAnsi="Arial"/>
          <w:sz w:val="22"/>
          <w:szCs w:val="22"/>
        </w:rPr>
        <w:t xml:space="preserve">ChatGPT (17/20) rated concept accuracy strong and misconception prevention excellent — the rubric's highest praise from that reviewer was in this dimension.</w:t>
      </w:r>
    </w:p>
    <w:p>
      <w:pPr>
        <w:pStyle w:val="ListParagraph"/>
        <w:numPr>
          <w:ilvl w:val="0"/>
          <w:numId w:val="2"/>
        </w:numPr>
        <w:spacing w:after="60" w:before="0"/>
        <w:ind w:left="720" w:hanging="360"/>
      </w:pPr>
      <w:r>
        <w:rPr>
          <w:rFonts w:ascii="Arial" w:cs="Arial" w:eastAsia="Arial" w:hAnsi="Arial"/>
          <w:sz w:val="22"/>
          <w:szCs w:val="22"/>
        </w:rPr>
        <w:t xml:space="preserve">Perplexity scored a notable outlier: 12/20, heavily penalized by awarding 0/5 for Real-World Case Fidelity on the grounds that the rubric itself is a meta-document, not the curriculum. This is a scoring methodology anomaly, not a true content deficiency.</w:t>
      </w:r>
    </w:p>
    <w:p>
      <w:pPr>
        <w:spacing w:after="80" w:before="0"/>
      </w:pPr>
      <w:r>
        <w:t xml:space="preserve"/>
      </w:r>
    </w:p>
    <w:p>
      <w:pPr>
        <w:spacing w:after="120" w:before="0"/>
      </w:pPr>
      <w:r>
        <w:rPr>
          <w:rFonts w:ascii="Arial" w:cs="Arial" w:eastAsia="Arial" w:hAnsi="Arial"/>
          <w:sz w:val="22"/>
          <w:szCs w:val="22"/>
        </w:rPr>
        <w:t xml:space="preserve">Key finding:</w:t>
      </w:r>
    </w:p>
    <w:p>
      <w:pPr>
        <w:pStyle w:val="ListParagraph"/>
        <w:numPr>
          <w:ilvl w:val="0"/>
          <w:numId w:val="2"/>
        </w:numPr>
        <w:spacing w:after="60" w:before="0"/>
        <w:ind w:left="720" w:hanging="360"/>
      </w:pPr>
      <w:r>
        <w:rPr>
          <w:rFonts w:ascii="Arial" w:cs="Arial" w:eastAsia="Arial" w:hAnsi="Arial"/>
          <w:sz w:val="22"/>
          <w:szCs w:val="22"/>
        </w:rPr>
        <w:t xml:space="preserve">D2 is the strongest performing dimension when the Perplexity anomaly is excluded (adjusted avg ≈ 18.3/20). Concept accuracy is a genuine asset. The primary gap is depth of ethics and bias coverage in the Advanced track.</w:t>
      </w:r>
    </w:p>
    <w:p>
      <w:pPr>
        <w:spacing w:after="120" w:before="0"/>
      </w:pPr>
      <w:r>
        <w:t xml:space="preserve"/>
      </w:r>
    </w:p>
    <w:p>
      <w:pPr>
        <w:pStyle w:val="Heading2"/>
        <w:spacing w:after="80" w:before="240"/>
      </w:pPr>
      <w:r>
        <w:rPr>
          <w:rFonts w:ascii="Arial" w:cs="Arial" w:eastAsia="Arial" w:hAnsi="Arial"/>
          <w:b/>
          <w:bCs/>
          <w:color w:val="1A8080"/>
        </w:rPr>
        <w:t xml:space="preserve">D3 — Age Differentiation  (Panel Avg: 18/20 = 90%)</w:t>
      </w:r>
    </w:p>
    <w:p>
      <w:pPr>
        <w:spacing w:after="120" w:before="0"/>
      </w:pPr>
      <w:r>
        <w:rPr>
          <w:rFonts w:ascii="Arial" w:cs="Arial" w:eastAsia="Arial" w:hAnsi="Arial"/>
          <w:sz w:val="22"/>
          <w:szCs w:val="22"/>
        </w:rPr>
        <w:t xml:space="preserve">What the panel agreed on:</w:t>
      </w:r>
    </w:p>
    <w:p>
      <w:pPr>
        <w:pStyle w:val="ListParagraph"/>
        <w:numPr>
          <w:ilvl w:val="0"/>
          <w:numId w:val="2"/>
        </w:numPr>
        <w:spacing w:after="60" w:before="0"/>
        <w:ind w:left="720" w:hanging="360"/>
      </w:pPr>
      <w:r>
        <w:rPr>
          <w:rFonts w:ascii="Arial" w:cs="Arial" w:eastAsia="Arial" w:hAnsi="Arial"/>
          <w:sz w:val="22"/>
          <w:szCs w:val="22"/>
        </w:rPr>
        <w:t xml:space="preserve">Strongest dimension across the panel. Both Claude and Gemini awarded 19–20/20.</w:t>
      </w:r>
    </w:p>
    <w:p>
      <w:pPr>
        <w:pStyle w:val="ListParagraph"/>
        <w:numPr>
          <w:ilvl w:val="0"/>
          <w:numId w:val="2"/>
        </w:numPr>
        <w:spacing w:after="60" w:before="0"/>
        <w:ind w:left="720" w:hanging="360"/>
      </w:pPr>
      <w:r>
        <w:rPr>
          <w:rFonts w:ascii="Arial" w:cs="Arial" w:eastAsia="Arial" w:hAnsi="Arial"/>
          <w:sz w:val="22"/>
          <w:szCs w:val="22"/>
        </w:rPr>
        <w:t xml:space="preserve">The tiered Intro/Basic/Advanced architecture received broad praise: Gemini called it "perfect for cognitive load management," Perplexity described age bands as "sharply differentiated with strong subset integrity."</w:t>
      </w:r>
    </w:p>
    <w:p>
      <w:pPr>
        <w:pStyle w:val="ListParagraph"/>
        <w:numPr>
          <w:ilvl w:val="0"/>
          <w:numId w:val="2"/>
        </w:numPr>
        <w:spacing w:after="60" w:before="0"/>
        <w:ind w:left="720" w:hanging="360"/>
      </w:pPr>
      <w:r>
        <w:rPr>
          <w:rFonts w:ascii="Arial" w:cs="Arial" w:eastAsia="Arial" w:hAnsi="Arial"/>
          <w:sz w:val="22"/>
          <w:szCs w:val="22"/>
        </w:rPr>
        <w:t xml:space="preserve">ChatGPT was the only dissenting voice (14/20), specifically flagging that while level framing is adequate, the cognitive scaffolding inside the Advanced track is lighter than expected — concepts are introduced at Advanced depth but not always built up step-by-step within the lesson arc.</w:t>
      </w:r>
    </w:p>
    <w:p>
      <w:pPr>
        <w:spacing w:after="80" w:before="0"/>
      </w:pPr>
      <w:r>
        <w:t xml:space="preserve"/>
      </w:r>
    </w:p>
    <w:p>
      <w:pPr>
        <w:spacing w:after="120" w:before="0"/>
      </w:pPr>
      <w:r>
        <w:rPr>
          <w:rFonts w:ascii="Arial" w:cs="Arial" w:eastAsia="Arial" w:hAnsi="Arial"/>
          <w:sz w:val="22"/>
          <w:szCs w:val="22"/>
        </w:rPr>
        <w:t xml:space="preserve">Finding: The macro differentiation (across age bands) is excellent. The micro scaffolding (within a level, concept to concept) is the gap ChatGPT identified.</w:t>
      </w:r>
    </w:p>
    <w:p>
      <w:pPr>
        <w:spacing w:after="120" w:before="0"/>
      </w:pPr>
      <w:r>
        <w:t xml:space="preserve"/>
      </w:r>
    </w:p>
    <w:p>
      <w:pPr>
        <w:pStyle w:val="Heading2"/>
        <w:spacing w:after="80" w:before="240"/>
      </w:pPr>
      <w:r>
        <w:rPr>
          <w:rFonts w:ascii="Arial" w:cs="Arial" w:eastAsia="Arial" w:hAnsi="Arial"/>
          <w:b/>
          <w:bCs/>
          <w:color w:val="1A8080"/>
        </w:rPr>
        <w:t xml:space="preserve">D4 — Delivery Architecture  (Panel Avg: 13.75/15 = 92%)</w:t>
      </w:r>
    </w:p>
    <w:p>
      <w:pPr>
        <w:spacing w:after="120" w:before="0"/>
      </w:pPr>
      <w:r>
        <w:rPr>
          <w:rFonts w:ascii="Arial" w:cs="Arial" w:eastAsia="Arial" w:hAnsi="Arial"/>
          <w:sz w:val="22"/>
          <w:szCs w:val="22"/>
        </w:rPr>
        <w:t xml:space="preserve">What the panel agreed on:</w:t>
      </w:r>
    </w:p>
    <w:p>
      <w:pPr>
        <w:pStyle w:val="ListParagraph"/>
        <w:numPr>
          <w:ilvl w:val="0"/>
          <w:numId w:val="2"/>
        </w:numPr>
        <w:spacing w:after="60" w:before="0"/>
        <w:ind w:left="720" w:hanging="360"/>
      </w:pPr>
      <w:r>
        <w:rPr>
          <w:rFonts w:ascii="Arial" w:cs="Arial" w:eastAsia="Arial" w:hAnsi="Arial"/>
          <w:sz w:val="22"/>
          <w:szCs w:val="22"/>
        </w:rPr>
        <w:t xml:space="preserve">Highest-scoring dimension by percentage. ChatGPT awarded a perfect 15/15 — the only perfect dimension score outside Claude.</w:t>
      </w:r>
    </w:p>
    <w:p>
      <w:pPr>
        <w:pStyle w:val="ListParagraph"/>
        <w:numPr>
          <w:ilvl w:val="0"/>
          <w:numId w:val="2"/>
        </w:numPr>
        <w:spacing w:after="60" w:before="0"/>
        <w:ind w:left="720" w:hanging="360"/>
      </w:pPr>
      <w:r>
        <w:rPr>
          <w:rFonts w:ascii="Arial" w:cs="Arial" w:eastAsia="Arial" w:hAnsi="Arial"/>
          <w:sz w:val="22"/>
          <w:szCs w:val="22"/>
        </w:rPr>
        <w:t xml:space="preserve">Orientation, pacing, and story-to-concept flow were praised consistently. The delivery mechanism — how the learner is introduced, moved through content, and prepared for assessment — is working well.</w:t>
      </w:r>
    </w:p>
    <w:p>
      <w:pPr>
        <w:pStyle w:val="ListParagraph"/>
        <w:numPr>
          <w:ilvl w:val="0"/>
          <w:numId w:val="2"/>
        </w:numPr>
        <w:spacing w:after="60" w:before="0"/>
        <w:ind w:left="720" w:hanging="360"/>
      </w:pPr>
      <w:r>
        <w:rPr>
          <w:rFonts w:ascii="Arial" w:cs="Arial" w:eastAsia="Arial" w:hAnsi="Arial"/>
          <w:sz w:val="22"/>
          <w:szCs w:val="22"/>
        </w:rPr>
        <w:t xml:space="preserve">Perplexity's lower score (12/15) flagged operationally thin pacing: the delivery is oriented and well-sequenced but leaves the learner to manage time and re-entry without structural checkpoints.</w:t>
      </w:r>
    </w:p>
    <w:p>
      <w:pPr>
        <w:spacing w:after="80" w:before="0"/>
      </w:pPr>
      <w:r>
        <w:t xml:space="preserve"/>
      </w:r>
    </w:p>
    <w:p>
      <w:pPr>
        <w:spacing w:after="120" w:before="0"/>
      </w:pPr>
      <w:r>
        <w:rPr>
          <w:rFonts w:ascii="Arial" w:cs="Arial" w:eastAsia="Arial" w:hAnsi="Arial"/>
          <w:sz w:val="22"/>
          <w:szCs w:val="22"/>
        </w:rPr>
        <w:t xml:space="preserve">Finding: D4 is structurally sound. The gap is operational: learners need clearer re-entry cues and pacing guides, especially in self-directed solo contexts.</w:t>
      </w:r>
    </w:p>
    <w:p>
      <w:pPr>
        <w:spacing w:after="120" w:before="0"/>
      </w:pPr>
      <w:r>
        <w:t xml:space="preserve"/>
      </w:r>
    </w:p>
    <w:p>
      <w:pPr>
        <w:pStyle w:val="Heading2"/>
        <w:spacing w:after="80" w:before="240"/>
      </w:pPr>
      <w:r>
        <w:rPr>
          <w:rFonts w:ascii="Arial" w:cs="Arial" w:eastAsia="Arial" w:hAnsi="Arial"/>
          <w:b/>
          <w:bCs/>
          <w:color w:val="1A8080"/>
        </w:rPr>
        <w:t xml:space="preserve">D5 — Assessment &amp; Lab Design  (Panel Avg: 15.5/20 = 78%)  ★ Priority Dimension</w:t>
      </w:r>
    </w:p>
    <w:p>
      <w:pPr>
        <w:spacing w:after="120" w:before="0"/>
      </w:pPr>
      <w:r>
        <w:rPr>
          <w:rFonts w:ascii="Arial" w:cs="Arial" w:eastAsia="Arial" w:hAnsi="Arial"/>
          <w:b/>
          <w:bCs/>
          <w:color w:val="7B3F00"/>
          <w:sz w:val="22"/>
          <w:szCs w:val="22"/>
        </w:rPr>
        <w:t xml:space="preserve">D5 is the rubric's override gate — failure here (&lt; 8/20) fails the entire unit regardless of overall score.</w:t>
      </w:r>
      <w:r>
        <w:rPr>
          <w:rFonts w:ascii="Arial" w:cs="Arial" w:eastAsia="Arial" w:hAnsi="Arial"/>
          <w:color w:val="0D1F2D"/>
          <w:sz w:val="22"/>
          <w:szCs w:val="22"/>
        </w:rPr>
        <w:t xml:space="preserve"> All four reviewers cleared the gate, but this is the dimension with the greatest spread and the most actionable specific feedback.</w:t>
      </w:r>
    </w:p>
    <w:p>
      <w:pPr>
        <w:spacing w:after="80" w:before="0"/>
      </w:pPr>
      <w:r>
        <w:t xml:space="preserve"/>
      </w:r>
    </w:p>
    <w:p>
      <w:pPr>
        <w:spacing w:after="120" w:before="0"/>
      </w:pPr>
      <w:r>
        <w:rPr>
          <w:rFonts w:ascii="Arial" w:cs="Arial" w:eastAsia="Arial" w:hAnsi="Arial"/>
          <w:sz w:val="22"/>
          <w:szCs w:val="22"/>
        </w:rPr>
        <w:t xml:space="preserve">What the panel found:</w:t>
      </w:r>
    </w:p>
    <w:p>
      <w:pPr>
        <w:pStyle w:val="ListParagraph"/>
        <w:numPr>
          <w:ilvl w:val="0"/>
          <w:numId w:val="2"/>
        </w:numPr>
        <w:spacing w:after="60" w:before="0"/>
        <w:ind w:left="720" w:hanging="360"/>
      </w:pPr>
      <w:r>
        <w:rPr>
          <w:rFonts w:ascii="Arial" w:cs="Arial" w:eastAsia="Arial" w:hAnsi="Arial"/>
          <w:sz w:val="22"/>
          <w:szCs w:val="22"/>
        </w:rPr>
        <w:t xml:space="preserve">Claude (19/20): Labs are executable and judgment-based; only minor note was that some quiz items test recall rather than application of judgment.</w:t>
      </w:r>
    </w:p>
    <w:p>
      <w:pPr>
        <w:pStyle w:val="ListParagraph"/>
        <w:numPr>
          <w:ilvl w:val="0"/>
          <w:numId w:val="2"/>
        </w:numPr>
        <w:spacing w:after="60" w:before="0"/>
        <w:ind w:left="720" w:hanging="360"/>
      </w:pPr>
      <w:r>
        <w:rPr>
          <w:rFonts w:ascii="Arial" w:cs="Arial" w:eastAsia="Arial" w:hAnsi="Arial"/>
          <w:sz w:val="22"/>
          <w:szCs w:val="22"/>
        </w:rPr>
        <w:t xml:space="preserve">Gemini (15/20): Practical utility of labs is good; assessment design could better surface whether the learner can transfer the concept to a new context (not just recognize it in the original one).</w:t>
      </w:r>
    </w:p>
    <w:p>
      <w:pPr>
        <w:pStyle w:val="ListParagraph"/>
        <w:numPr>
          <w:ilvl w:val="0"/>
          <w:numId w:val="2"/>
        </w:numPr>
        <w:spacing w:after="60" w:before="0"/>
        <w:ind w:left="720" w:hanging="360"/>
      </w:pPr>
      <w:r>
        <w:rPr>
          <w:rFonts w:ascii="Arial" w:cs="Arial" w:eastAsia="Arial" w:hAnsi="Arial"/>
          <w:sz w:val="22"/>
          <w:szCs w:val="22"/>
        </w:rPr>
        <w:t xml:space="preserve">ChatGPT (14/20): Assessment design is the weakest area called out across all three levels. Specifically: lab steps are present but not clearly bounded — it's not always obvious when a lab is "done" and what constitutes a successful output.</w:t>
      </w:r>
    </w:p>
    <w:p>
      <w:pPr>
        <w:pStyle w:val="ListParagraph"/>
        <w:numPr>
          <w:ilvl w:val="0"/>
          <w:numId w:val="2"/>
        </w:numPr>
        <w:spacing w:after="60" w:before="0"/>
        <w:ind w:left="720" w:hanging="360"/>
      </w:pPr>
      <w:r>
        <w:rPr>
          <w:rFonts w:ascii="Arial" w:cs="Arial" w:eastAsia="Arial" w:hAnsi="Arial"/>
          <w:sz w:val="22"/>
          <w:szCs w:val="22"/>
        </w:rPr>
        <w:t xml:space="preserve">Perplexity (14/20): Insists on executable labs and judgment-based quizzes (not recall). As a meta-document reviewer, its concern was that labs need explicit success criteria, not just task descriptions.</w:t>
      </w:r>
    </w:p>
    <w:p>
      <w:pPr>
        <w:spacing w:after="80" w:before="0"/>
      </w:pPr>
      <w:r>
        <w:t xml:space="preserve"/>
      </w:r>
    </w:p>
    <w:p>
      <w:pPr>
        <w:spacing w:after="120" w:before="0"/>
      </w:pPr>
      <w:r>
        <w:rPr>
          <w:rFonts w:ascii="Arial" w:cs="Arial" w:eastAsia="Arial" w:hAnsi="Arial"/>
          <w:sz w:val="22"/>
          <w:szCs w:val="22"/>
        </w:rPr>
        <w:t xml:space="preserve">Convergent D5 findings (3 of 4 reviewers raised similar concerns):</w:t>
      </w:r>
    </w:p>
    <w:p>
      <w:pPr>
        <w:pStyle w:val="ListParagraph"/>
        <w:numPr>
          <w:ilvl w:val="0"/>
          <w:numId w:val="2"/>
        </w:numPr>
        <w:spacing w:after="60" w:before="0"/>
        <w:ind w:left="720" w:hanging="360"/>
      </w:pPr>
      <w:r>
        <w:rPr>
          <w:rFonts w:ascii="Arial" w:cs="Arial" w:eastAsia="Arial" w:hAnsi="Arial"/>
          <w:sz w:val="22"/>
          <w:szCs w:val="22"/>
        </w:rPr>
        <w:t xml:space="preserve">Lab completion criteria are not explicit — learners don't know what "done" looks like.</w:t>
      </w:r>
    </w:p>
    <w:p>
      <w:pPr>
        <w:pStyle w:val="ListParagraph"/>
        <w:numPr>
          <w:ilvl w:val="0"/>
          <w:numId w:val="2"/>
        </w:numPr>
        <w:spacing w:after="60" w:before="0"/>
        <w:ind w:left="720" w:hanging="360"/>
      </w:pPr>
      <w:r>
        <w:rPr>
          <w:rFonts w:ascii="Arial" w:cs="Arial" w:eastAsia="Arial" w:hAnsi="Arial"/>
          <w:sz w:val="22"/>
          <w:szCs w:val="22"/>
        </w:rPr>
        <w:t xml:space="preserve">Quiz items lean toward recognition/recall rather than transfer and judgment.</w:t>
      </w:r>
    </w:p>
    <w:p>
      <w:pPr>
        <w:pStyle w:val="ListParagraph"/>
        <w:numPr>
          <w:ilvl w:val="0"/>
          <w:numId w:val="2"/>
        </w:numPr>
        <w:spacing w:after="60" w:before="0"/>
        <w:ind w:left="720" w:hanging="360"/>
      </w:pPr>
      <w:r>
        <w:rPr>
          <w:rFonts w:ascii="Arial" w:cs="Arial" w:eastAsia="Arial" w:hAnsi="Arial"/>
          <w:sz w:val="22"/>
          <w:szCs w:val="22"/>
        </w:rPr>
        <w:t xml:space="preserve">Capability delta demonstration ("what can you do now that you couldn't before?") is asserted but not yet a structured learner-facing moment.</w:t>
      </w:r>
    </w:p>
    <w:p>
      <w:pPr>
        <w:spacing w:after="240" w:before="0"/>
      </w:pPr>
      <w:r>
        <w:t xml:space="preserve"/>
      </w:r>
    </w:p>
    <w:p>
      <w:pPr>
        <w:pStyle w:val="Heading1"/>
        <w:spacing w:after="120" w:before="360"/>
      </w:pPr>
      <w:r>
        <w:rPr>
          <w:rFonts w:ascii="Arial" w:cs="Arial" w:eastAsia="Arial" w:hAnsi="Arial"/>
          <w:b/>
          <w:bCs/>
          <w:color w:val="0D1F2D"/>
        </w:rPr>
        <w:t xml:space="preserve">3. Improvement Strategy</w:t>
      </w:r>
    </w:p>
    <w:p>
      <w:pPr>
        <w:spacing w:after="120" w:before="0"/>
      </w:pPr>
      <w:r>
        <w:rPr>
          <w:rFonts w:ascii="Arial" w:cs="Arial" w:eastAsia="Arial" w:hAnsi="Arial"/>
          <w:sz w:val="22"/>
          <w:szCs w:val="22"/>
        </w:rPr>
        <w:t xml:space="preserve">The following strategy addresses weaknesses in priority order, using a three-tier approach: structural changes that affect all levels, targeted content improvements for Advanced, and operational/UX improvements.</w:t>
      </w:r>
    </w:p>
    <w:p>
      <w:pPr>
        <w:spacing w:after="12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520"/>
      </w:tblGrid>
      <w:tr>
        <w:trPr>
          <w:tblHeader/>
        </w:trPr>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w:t>
            </w:r>
          </w:p>
        </w:tc>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r>
              <w:rPr>
                <w:rFonts w:ascii="Arial" w:cs="Arial" w:eastAsia="Arial" w:hAnsi="Arial"/>
                <w:b/>
                <w:bCs/>
                <w:color w:val="FFFFFF"/>
                <w:sz w:val="18"/>
                <w:szCs w:val="18"/>
              </w:rPr>
              <w:t xml:space="preserve">Dimension / Area</w:t>
            </w:r>
          </w:p>
        </w:tc>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r>
              <w:rPr>
                <w:rFonts w:ascii="Arial" w:cs="Arial" w:eastAsia="Arial" w:hAnsi="Arial"/>
                <w:b/>
                <w:bCs/>
                <w:color w:val="FFFFFF"/>
                <w:sz w:val="18"/>
                <w:szCs w:val="18"/>
              </w:rPr>
              <w:t xml:space="preserve">Expected Score Impact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7B3F00"/>
                <w:sz w:val="22"/>
                <w:szCs w:val="22"/>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F2D"/>
                <w:sz w:val="20"/>
                <w:szCs w:val="20"/>
              </w:rPr>
              <w:t xml:space="preserve">D5 — Lab completion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F2D"/>
                <w:sz w:val="20"/>
                <w:szCs w:val="20"/>
              </w:rPr>
              <w:t xml:space="preserve">Add explicit success criteria block to every lab: what the output looks like, how to self-check it, and what the learner should be able to explain upon completion.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+3–5 pts D5 (all reviewers)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7B3F00"/>
                <w:sz w:val="22"/>
                <w:szCs w:val="22"/>
              </w:rPr>
              <w:t xml:space="preserve">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F2D"/>
                <w:sz w:val="20"/>
                <w:szCs w:val="20"/>
              </w:rPr>
              <w:t xml:space="preserve">D5 — Quiz design / judgment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1F2D"/>
                <w:sz w:val="20"/>
                <w:szCs w:val="20"/>
              </w:rPr>
              <w:t xml:space="preserve">Replace ≥ 40% of recall-style quiz items with scenario-based judgment items. Learner chooses the better AI response and explains why.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+2–4 pts D5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2"/>
                <w:szCs w:val="22"/>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F2D"/>
                <w:sz w:val="20"/>
                <w:szCs w:val="20"/>
              </w:rPr>
              <w:t xml:space="preserve">D1 — Dramatization depth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F2D"/>
                <w:sz w:val="20"/>
                <w:szCs w:val="20"/>
              </w:rPr>
              <w:t xml:space="preserve">Add a 1–2 paragraph "stakes scene" before each concept section that heightens the problem before resolution. Learner should feel tension, not just see the situation.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+3–5 pts D1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8080"/>
                <w:sz w:val="22"/>
                <w:szCs w:val="22"/>
              </w:rPr>
              <w:t xml:space="preserve">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F2D"/>
                <w:sz w:val="20"/>
                <w:szCs w:val="20"/>
              </w:rPr>
              <w:t xml:space="preserve">D3 — Micro scaffolding (Advanced)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1F2D"/>
                <w:sz w:val="20"/>
                <w:szCs w:val="20"/>
              </w:rPr>
              <w:t xml:space="preserve">Add explicit "concept bridge" callouts between sub-concepts within Advanced lessons. Each new idea should reference the prior one before extending it.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+2–3 pts D3 (ChatGPT)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2"/>
                <w:szCs w:val="22"/>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F2D"/>
                <w:sz w:val="20"/>
                <w:szCs w:val="20"/>
              </w:rPr>
              <w:t xml:space="preserve">D2 — Ethics/Bias depth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F2D"/>
                <w:sz w:val="20"/>
                <w:szCs w:val="20"/>
              </w:rPr>
              <w:t xml:space="preserve">Expand ethics and bias coverage in Advanced: add one additional documented case study showing harm from unmitigated bias (not just explanation of bias as a concept).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+1–2 pts D2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8080"/>
                <w:sz w:val="22"/>
                <w:szCs w:val="22"/>
              </w:rPr>
              <w:t xml:space="preserve">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F2D"/>
                <w:sz w:val="20"/>
                <w:szCs w:val="20"/>
              </w:rPr>
              <w:t xml:space="preserve">D4 — Re-entry checkpoints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1F2D"/>
                <w:sz w:val="20"/>
                <w:szCs w:val="20"/>
              </w:rPr>
              <w:t xml:space="preserve">Add brief "Where were we?" summary panels at module entry points. Provide an estimated time callout per lesson for self-paced learners.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+1–2 pts D4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2"/>
                <w:szCs w:val="22"/>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F2D"/>
                <w:sz w:val="20"/>
                <w:szCs w:val="20"/>
              </w:rPr>
              <w:t xml:space="preserve">D1 — Character continuity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F2D"/>
                <w:sz w:val="20"/>
                <w:szCs w:val="20"/>
              </w:rPr>
              <w:t xml:space="preserve">Create a lightweight character thread that references earlier events within the same module. LIBREX/Jordan should accumulate history, not reset.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+2–3 pts D1 (ChatGPT)</w:t>
            </w:r>
          </w:p>
        </w:tc>
      </w:tr>
    </w:tbl>
    <w:p>
      <w:pPr>
        <w:spacing w:after="240" w:before="0"/>
      </w:pPr>
      <w:r>
        <w:t xml:space="preserve"/>
      </w:r>
    </w:p>
    <w:p>
      <w:pPr>
        <w:pStyle w:val="Heading1"/>
        <w:spacing w:after="120" w:before="360"/>
      </w:pPr>
      <w:r>
        <w:rPr>
          <w:rFonts w:ascii="Arial" w:cs="Arial" w:eastAsia="Arial" w:hAnsi="Arial"/>
          <w:b/>
          <w:bCs/>
          <w:color w:val="0D1F2D"/>
        </w:rPr>
        <w:t xml:space="preserve">4. Detailed Improvement Proposals</w:t>
      </w:r>
    </w:p>
    <w:p>
      <w:pPr>
        <w:pStyle w:val="Heading2"/>
        <w:spacing w:after="80" w:before="240"/>
      </w:pPr>
      <w:r>
        <w:rPr>
          <w:rFonts w:ascii="Arial" w:cs="Arial" w:eastAsia="Arial" w:hAnsi="Arial"/>
          <w:b/>
          <w:bCs/>
          <w:color w:val="1A8080"/>
        </w:rPr>
        <w:t xml:space="preserve">Proposal 1: Lab Success Criteria Block (D5, Priority 1)</w:t>
      </w:r>
    </w:p>
    <w:p>
      <w:pPr>
        <w:spacing w:after="120" w:before="0"/>
      </w:pPr>
      <w:r>
        <w:rPr>
          <w:rFonts w:ascii="Arial" w:cs="Arial" w:eastAsia="Arial" w:hAnsi="Arial"/>
          <w:sz w:val="22"/>
          <w:szCs w:val="22"/>
        </w:rPr>
        <w:t xml:space="preserve">Problem: Three reviewers independently flagged that labs lack explicit completion criteria. Learners receive tasks but not a definition of success.</w:t>
      </w:r>
    </w:p>
    <w:p>
      <w:pPr>
        <w:spacing w:after="80" w:before="0"/>
      </w:pPr>
      <w:r>
        <w:t xml:space="preserve"/>
      </w:r>
    </w:p>
    <w:p>
      <w:pPr>
        <w:spacing w:after="120" w:before="0"/>
      </w:pPr>
      <w:r>
        <w:rPr>
          <w:rFonts w:ascii="Arial" w:cs="Arial" w:eastAsia="Arial" w:hAnsi="Arial"/>
          <w:sz w:val="22"/>
          <w:szCs w:val="22"/>
        </w:rPr>
        <w:t xml:space="preserve">Proposed solution: Add a standardized "Lab Checkpoint" block at the end of every lab, containing three elements:</w:t>
      </w:r>
    </w:p>
    <w:p>
      <w:pPr>
        <w:pStyle w:val="ListParagraph"/>
        <w:numPr>
          <w:ilvl w:val="0"/>
          <w:numId w:val="3"/>
        </w:numPr>
        <w:spacing w:after="60" w:before="0"/>
        <w:ind w:left="720" w:hanging="360"/>
      </w:pPr>
      <w:r>
        <w:rPr>
          <w:rFonts w:ascii="Arial" w:cs="Arial" w:eastAsia="Arial" w:hAnsi="Arial"/>
          <w:sz w:val="22"/>
          <w:szCs w:val="22"/>
        </w:rPr>
        <w:t xml:space="preserve">Output definition — describe what the learner's completed work product should look like (a paragraph, a diagram, a working code snippet, a labeled screenshot).</w:t>
      </w:r>
    </w:p>
    <w:p>
      <w:pPr>
        <w:pStyle w:val="ListParagraph"/>
        <w:numPr>
          <w:ilvl w:val="0"/>
          <w:numId w:val="3"/>
        </w:numPr>
        <w:spacing w:after="60" w:before="0"/>
        <w:ind w:left="720" w:hanging="360"/>
      </w:pPr>
      <w:r>
        <w:rPr>
          <w:rFonts w:ascii="Arial" w:cs="Arial" w:eastAsia="Arial" w:hAnsi="Arial"/>
          <w:sz w:val="22"/>
          <w:szCs w:val="22"/>
        </w:rPr>
        <w:t xml:space="preserve">Self-check question — one question the learner can answer to verify understanding (e.g., "Can you explain why the AI gave this response without looking at the lesson?").</w:t>
      </w:r>
    </w:p>
    <w:p>
      <w:pPr>
        <w:pStyle w:val="ListParagraph"/>
        <w:numPr>
          <w:ilvl w:val="0"/>
          <w:numId w:val="3"/>
        </w:numPr>
        <w:spacing w:after="60" w:before="0"/>
        <w:ind w:left="720" w:hanging="360"/>
      </w:pPr>
      <w:r>
        <w:rPr>
          <w:rFonts w:ascii="Arial" w:cs="Arial" w:eastAsia="Arial" w:hAnsi="Arial"/>
          <w:sz w:val="22"/>
          <w:szCs w:val="22"/>
        </w:rPr>
        <w:t xml:space="preserve">Capability statement — a one-sentence "I can now..." statement that the learner reads as confirmation of the capability delta the lab was designed to produce.</w:t>
      </w:r>
    </w:p>
    <w:p>
      <w:pPr>
        <w:spacing w:after="80" w:before="0"/>
      </w:pPr>
      <w:r>
        <w:t xml:space="preserve"/>
      </w:r>
    </w:p>
    <w:p>
      <w:pPr>
        <w:spacing w:after="120" w:before="0"/>
      </w:pPr>
      <w:r>
        <w:rPr>
          <w:rFonts w:ascii="Arial" w:cs="Arial" w:eastAsia="Arial" w:hAnsi="Arial"/>
          <w:sz w:val="22"/>
          <w:szCs w:val="22"/>
        </w:rPr>
        <w:t xml:space="preserve">Implementation: These blocks should be consistent in visual design across all levels and all modules. Once the template is created, it can be applied retroactively to all existing labs and prospectively to all future ones. Estimated editing time: 30–60 minutes per module.</w:t>
      </w:r>
    </w:p>
    <w:p>
      <w:pPr>
        <w:spacing w:after="80" w:before="0"/>
      </w:pPr>
      <w:r>
        <w:t xml:space="preserve"/>
      </w:r>
    </w:p>
    <w:p>
      <w:pPr>
        <w:spacing w:after="120" w:before="0"/>
      </w:pPr>
      <w:r>
        <w:rPr>
          <w:rFonts w:ascii="Arial" w:cs="Arial" w:eastAsia="Arial" w:hAnsi="Arial"/>
          <w:sz w:val="22"/>
          <w:szCs w:val="22"/>
        </w:rPr>
        <w:t xml:space="preserve">Expected impact: +3–5 points across D5 for all four reviewers. This is the single highest-leverage change available.</w:t>
      </w:r>
    </w:p>
    <w:p>
      <w:pPr>
        <w:spacing w:after="160" w:before="0"/>
      </w:pPr>
      <w:r>
        <w:t xml:space="preserve"/>
      </w:r>
    </w:p>
    <w:p>
      <w:pPr>
        <w:pStyle w:val="Heading2"/>
        <w:spacing w:after="80" w:before="240"/>
      </w:pPr>
      <w:r>
        <w:rPr>
          <w:rFonts w:ascii="Arial" w:cs="Arial" w:eastAsia="Arial" w:hAnsi="Arial"/>
          <w:b/>
          <w:bCs/>
          <w:color w:val="1A8080"/>
        </w:rPr>
        <w:t xml:space="preserve">Proposal 2: Scenario-Based Quiz Conversion (D5, Priority 2)</w:t>
      </w:r>
    </w:p>
    <w:p>
      <w:pPr>
        <w:spacing w:after="120" w:before="0"/>
      </w:pPr>
      <w:r>
        <w:rPr>
          <w:rFonts w:ascii="Arial" w:cs="Arial" w:eastAsia="Arial" w:hAnsi="Arial"/>
          <w:sz w:val="22"/>
          <w:szCs w:val="22"/>
        </w:rPr>
        <w:t xml:space="preserve">Problem: ChatGPT and Perplexity both flagged quiz items as recall-oriented. The rubric's D5 criteria explicitly weight judgment-based assessment.</w:t>
      </w:r>
    </w:p>
    <w:p>
      <w:pPr>
        <w:spacing w:after="80" w:before="0"/>
      </w:pPr>
      <w:r>
        <w:t xml:space="preserve"/>
      </w:r>
    </w:p>
    <w:p>
      <w:pPr>
        <w:spacing w:after="120" w:before="0"/>
      </w:pPr>
      <w:r>
        <w:rPr>
          <w:rFonts w:ascii="Arial" w:cs="Arial" w:eastAsia="Arial" w:hAnsi="Arial"/>
          <w:sz w:val="22"/>
          <w:szCs w:val="22"/>
        </w:rPr>
        <w:t xml:space="preserve">Proposed solution: Audit all quiz items and convert at least 40% to scenario-based format using the following pattern:</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1A8080" w:sz="1"/>
              <w:left w:val="single" w:color="1A8080" w:sz="1"/>
              <w:bottom w:val="single" w:color="1A8080" w:sz="1"/>
              <w:right w:val="single" w:color="1A8080" w:sz="1"/>
            </w:tcBorders>
            <w:shd w:fill="EAF4F4" w:val="clear"/>
            <w:tcMar>
              <w:top w:type="dxa" w:w="160"/>
              <w:left w:type="dxa" w:w="240"/>
              <w:bottom w:type="dxa" w:w="160"/>
              <w:right w:type="dxa" w:w="240"/>
            </w:tcMar>
          </w:tcPr>
          <w:p>
            <w:r>
              <w:rPr>
                <w:rFonts w:ascii="Arial" w:cs="Arial" w:eastAsia="Arial" w:hAnsi="Arial"/>
                <w:b/>
                <w:bCs/>
                <w:color w:val="888888"/>
                <w:sz w:val="18"/>
                <w:szCs w:val="18"/>
              </w:rPr>
              <w:t xml:space="preserve">BEFORE (Recall Format):</w:t>
            </w:r>
          </w:p>
          <w:p>
            <w:r>
              <w:rPr>
                <w:rFonts w:ascii="Arial" w:cs="Arial" w:eastAsia="Arial" w:hAnsi="Arial"/>
                <w:i/>
                <w:iCs/>
                <w:color w:val="0D1F2D"/>
                <w:sz w:val="20"/>
                <w:szCs w:val="20"/>
              </w:rPr>
              <w:t xml:space="preserve">"What is a hallucination in the context of AI?"</w:t>
            </w:r>
          </w:p>
          <w:p>
            <w:pPr>
              <w:spacing w:after="80" w:before="0"/>
            </w:pPr>
            <w:r>
              <w:t xml:space="preserve"/>
            </w:r>
          </w:p>
          <w:p>
            <w:r>
              <w:rPr>
                <w:rFonts w:ascii="Arial" w:cs="Arial" w:eastAsia="Arial" w:hAnsi="Arial"/>
                <w:b/>
                <w:bCs/>
                <w:color w:val="1A8080"/>
                <w:sz w:val="18"/>
                <w:szCs w:val="18"/>
              </w:rPr>
              <w:t xml:space="preserve">AFTER (Judgment Format):</w:t>
            </w:r>
          </w:p>
          <w:p>
            <w:r>
              <w:rPr>
                <w:rFonts w:ascii="Arial" w:cs="Arial" w:eastAsia="Arial" w:hAnsi="Arial"/>
                <w:i/>
                <w:iCs/>
                <w:color w:val="0D1F2D"/>
                <w:sz w:val="20"/>
                <w:szCs w:val="20"/>
              </w:rPr>
              <w:t xml:space="preserve">"Jordan's AI assistant confidently lists three famous speeches by Abraham Lincoln. Jordan checks one — it doesn't exist. What should Jordan do next, and what does this situation tell us about how AI handles knowledge gaps?"</w:t>
            </w:r>
          </w:p>
        </w:tc>
      </w:tr>
    </w:tbl>
    <w:p>
      <w:pPr>
        <w:spacing w:after="80" w:before="0"/>
      </w:pPr>
      <w:r>
        <w:t xml:space="preserve"/>
      </w:r>
    </w:p>
    <w:p>
      <w:pPr>
        <w:spacing w:after="120" w:before="0"/>
      </w:pPr>
      <w:r>
        <w:rPr>
          <w:rFonts w:ascii="Arial" w:cs="Arial" w:eastAsia="Arial" w:hAnsi="Arial"/>
          <w:sz w:val="22"/>
          <w:szCs w:val="22"/>
        </w:rPr>
        <w:t xml:space="preserve">This format tests whether the learner can recognize the concept operating in context and apply judgment — not whether they memorized the definition. Items of this type directly satisfy the D5 rubric's highest-anchor criteria.</w:t>
      </w:r>
    </w:p>
    <w:p>
      <w:pPr>
        <w:spacing w:after="80" w:before="0"/>
      </w:pPr>
      <w:r>
        <w:t xml:space="preserve"/>
      </w:r>
    </w:p>
    <w:p>
      <w:pPr>
        <w:spacing w:after="120" w:before="0"/>
      </w:pPr>
      <w:r>
        <w:rPr>
          <w:rFonts w:ascii="Arial" w:cs="Arial" w:eastAsia="Arial" w:hAnsi="Arial"/>
          <w:sz w:val="22"/>
          <w:szCs w:val="22"/>
        </w:rPr>
        <w:t xml:space="preserve">Expected impact: +2–4 points D5. Additionally strengthens D1 (narrative integration) by keeping story characters active through assessment.</w:t>
      </w:r>
    </w:p>
    <w:p>
      <w:pPr>
        <w:spacing w:after="160" w:before="0"/>
      </w:pPr>
      <w:r>
        <w:t xml:space="preserve"/>
      </w:r>
    </w:p>
    <w:p>
      <w:pPr>
        <w:pStyle w:val="Heading2"/>
        <w:spacing w:after="80" w:before="240"/>
      </w:pPr>
      <w:r>
        <w:rPr>
          <w:rFonts w:ascii="Arial" w:cs="Arial" w:eastAsia="Arial" w:hAnsi="Arial"/>
          <w:b/>
          <w:bCs/>
          <w:color w:val="1A8080"/>
        </w:rPr>
        <w:t xml:space="preserve">Proposal 3: Stakes Scenes Before Concept Reveals (D1, Priority 3)</w:t>
      </w:r>
    </w:p>
    <w:p>
      <w:pPr>
        <w:spacing w:after="120" w:before="0"/>
      </w:pPr>
      <w:r>
        <w:rPr>
          <w:rFonts w:ascii="Arial" w:cs="Arial" w:eastAsia="Arial" w:hAnsi="Arial"/>
          <w:sz w:val="22"/>
          <w:szCs w:val="22"/>
        </w:rPr>
        <w:t xml:space="preserve">Problem: Perplexity and ChatGPT both noted that narrative "describes rather than dramatizes." The story presents a situation but often resolves it before the learner has time to feel the problem.</w:t>
      </w:r>
    </w:p>
    <w:p>
      <w:pPr>
        <w:spacing w:after="80" w:before="0"/>
      </w:pPr>
      <w:r>
        <w:t xml:space="preserve"/>
      </w:r>
    </w:p>
    <w:p>
      <w:pPr>
        <w:spacing w:after="120" w:before="0"/>
      </w:pPr>
      <w:r>
        <w:rPr>
          <w:rFonts w:ascii="Arial" w:cs="Arial" w:eastAsia="Arial" w:hAnsi="Arial"/>
          <w:sz w:val="22"/>
          <w:szCs w:val="22"/>
        </w:rPr>
        <w:t xml:space="preserve">Proposed solution: Insert a brief "stakes scene" (150–250 words) before each major concept introduction. The scene should:</w:t>
      </w:r>
    </w:p>
    <w:p>
      <w:pPr>
        <w:pStyle w:val="ListParagraph"/>
        <w:numPr>
          <w:ilvl w:val="0"/>
          <w:numId w:val="2"/>
        </w:numPr>
        <w:spacing w:after="60" w:before="0"/>
        <w:ind w:left="720" w:hanging="360"/>
      </w:pPr>
      <w:r>
        <w:rPr>
          <w:rFonts w:ascii="Arial" w:cs="Arial" w:eastAsia="Arial" w:hAnsi="Arial"/>
          <w:sz w:val="22"/>
          <w:szCs w:val="22"/>
        </w:rPr>
        <w:t xml:space="preserve">Show a character experiencing a consequence — not just a setup.</w:t>
      </w:r>
    </w:p>
    <w:p>
      <w:pPr>
        <w:pStyle w:val="ListParagraph"/>
        <w:numPr>
          <w:ilvl w:val="0"/>
          <w:numId w:val="2"/>
        </w:numPr>
        <w:spacing w:after="60" w:before="0"/>
        <w:ind w:left="720" w:hanging="360"/>
      </w:pPr>
      <w:r>
        <w:rPr>
          <w:rFonts w:ascii="Arial" w:cs="Arial" w:eastAsia="Arial" w:hAnsi="Arial"/>
          <w:sz w:val="22"/>
          <w:szCs w:val="22"/>
        </w:rPr>
        <w:t xml:space="preserve">Pause before the explanation. Leave the learner in the problem for a moment.</w:t>
      </w:r>
    </w:p>
    <w:p>
      <w:pPr>
        <w:pStyle w:val="ListParagraph"/>
        <w:numPr>
          <w:ilvl w:val="0"/>
          <w:numId w:val="2"/>
        </w:numPr>
        <w:spacing w:after="60" w:before="0"/>
        <w:ind w:left="720" w:hanging="360"/>
      </w:pPr>
      <w:r>
        <w:rPr>
          <w:rFonts w:ascii="Arial" w:cs="Arial" w:eastAsia="Arial" w:hAnsi="Arial"/>
          <w:sz w:val="22"/>
          <w:szCs w:val="22"/>
        </w:rPr>
        <w:t xml:space="preserve">Use dialogue or action, not narration. Show, don't tell.</w:t>
      </w:r>
    </w:p>
    <w:p>
      <w:pPr>
        <w:spacing w:after="80" w:before="0"/>
      </w:pPr>
      <w:r>
        <w:t xml:space="preserve"/>
      </w:r>
    </w:p>
    <w:p>
      <w:pPr>
        <w:spacing w:after="120" w:before="0"/>
      </w:pPr>
      <w:r>
        <w:rPr>
          <w:rFonts w:ascii="Arial" w:cs="Arial" w:eastAsia="Arial" w:hAnsi="Arial"/>
          <w:sz w:val="22"/>
          <w:szCs w:val="22"/>
        </w:rPr>
        <w:t xml:space="preserve">This aligns directly with the AESOP founding principle: story creates the problem. The concept is not introduced until the narrative has established why the learner should care about solving it.</w:t>
      </w:r>
    </w:p>
    <w:p>
      <w:pPr>
        <w:spacing w:after="80" w:before="0"/>
      </w:pPr>
      <w:r>
        <w:t xml:space="preserve"/>
      </w:r>
    </w:p>
    <w:p>
      <w:pPr>
        <w:spacing w:after="120" w:before="0"/>
      </w:pPr>
      <w:r>
        <w:rPr>
          <w:rFonts w:ascii="Arial" w:cs="Arial" w:eastAsia="Arial" w:hAnsi="Arial"/>
          <w:sz w:val="22"/>
          <w:szCs w:val="22"/>
        </w:rPr>
        <w:t xml:space="preserve">Implementation note: This change does not require rebuilding lessons. It is an additive insert — a short scene that precedes existing concept content. In the LIBREX/Jordan framework, this could be as simple as LIBREX giving Jordan an answer that fails, and Jordan noticing before the lesson explains why.</w:t>
      </w:r>
    </w:p>
    <w:p>
      <w:pPr>
        <w:spacing w:after="80" w:before="0"/>
      </w:pPr>
      <w:r>
        <w:t xml:space="preserve"/>
      </w:r>
    </w:p>
    <w:p>
      <w:pPr>
        <w:spacing w:after="120" w:before="0"/>
      </w:pPr>
      <w:r>
        <w:rPr>
          <w:rFonts w:ascii="Arial" w:cs="Arial" w:eastAsia="Arial" w:hAnsi="Arial"/>
          <w:sz w:val="22"/>
          <w:szCs w:val="22"/>
        </w:rPr>
        <w:t xml:space="preserve">Expected impact: +3–5 points D1. Strongest single narrative improvement available.</w:t>
      </w:r>
    </w:p>
    <w:p>
      <w:pPr>
        <w:spacing w:after="160" w:before="0"/>
      </w:pPr>
      <w:r>
        <w:t xml:space="preserve"/>
      </w:r>
    </w:p>
    <w:p>
      <w:pPr>
        <w:pStyle w:val="Heading2"/>
        <w:spacing w:after="80" w:before="240"/>
      </w:pPr>
      <w:r>
        <w:rPr>
          <w:rFonts w:ascii="Arial" w:cs="Arial" w:eastAsia="Arial" w:hAnsi="Arial"/>
          <w:b/>
          <w:bCs/>
          <w:color w:val="1A8080"/>
        </w:rPr>
        <w:t xml:space="preserve">Proposal 4: Micro-Scaffolding Bridges in Advanced Track (D3, Priority 4)</w:t>
      </w:r>
    </w:p>
    <w:p>
      <w:pPr>
        <w:spacing w:after="120" w:before="0"/>
      </w:pPr>
      <w:r>
        <w:rPr>
          <w:rFonts w:ascii="Arial" w:cs="Arial" w:eastAsia="Arial" w:hAnsi="Arial"/>
          <w:sz w:val="22"/>
          <w:szCs w:val="22"/>
        </w:rPr>
        <w:t xml:space="preserve">Problem: ChatGPT (the designated Learner Experience reviewer) flagged that while macro differentiation across age bands is excellent, the cognitive scaffolding within the Advanced track is lighter than expected. Sub-concepts are introduced but not always connected to what immediately preceded them.</w:t>
      </w:r>
    </w:p>
    <w:p>
      <w:pPr>
        <w:spacing w:after="80" w:before="0"/>
      </w:pPr>
      <w:r>
        <w:t xml:space="preserve"/>
      </w:r>
    </w:p>
    <w:p>
      <w:pPr>
        <w:spacing w:after="120" w:before="0"/>
      </w:pPr>
      <w:r>
        <w:rPr>
          <w:rFonts w:ascii="Arial" w:cs="Arial" w:eastAsia="Arial" w:hAnsi="Arial"/>
          <w:sz w:val="22"/>
          <w:szCs w:val="22"/>
        </w:rPr>
        <w:t xml:space="preserve">Proposed solution: Add "concept bridge" callout boxes between sub-concepts: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8A84B" w:sz="1"/>
              <w:left w:val="single" w:color="C8A84B" w:sz="1"/>
              <w:bottom w:val="single" w:color="C8A84B" w:sz="1"/>
              <w:right w:val="single" w:color="C8A84B" w:sz="1"/>
            </w:tcBorders>
            <w:shd w:fill="FFF8E1" w:val="clear"/>
            <w:tcMar>
              <w:top w:type="dxa" w:w="160"/>
              <w:left w:type="dxa" w:w="240"/>
              <w:bottom w:type="dxa" w:w="160"/>
              <w:right w:type="dxa" w:w="240"/>
            </w:tcMar>
          </w:tcPr>
          <w:p>
            <w:r>
              <w:rPr>
                <w:rFonts w:ascii="Arial" w:cs="Arial" w:eastAsia="Arial" w:hAnsi="Arial"/>
                <w:b/>
                <w:bCs/>
                <w:color w:val="7B3F00"/>
                <w:sz w:val="20"/>
                <w:szCs w:val="20"/>
              </w:rPr>
              <w:t xml:space="preserve">▶  Building on what you just learned:</w:t>
            </w:r>
          </w:p>
          <w:p>
            <w:r>
              <w:rPr>
                <w:rFonts w:ascii="Arial" w:cs="Arial" w:eastAsia="Arial" w:hAnsi="Arial"/>
                <w:i/>
                <w:iCs/>
                <w:color w:val="0D1F2D"/>
                <w:sz w:val="20"/>
                <w:szCs w:val="20"/>
              </w:rPr>
              <w:t xml:space="preserve">You now know that AI models predict the next token based on patterns in training data. That's the foundation for what comes next: understanding why models sometimes produce confident-sounding wrong answers. If prediction is based on patterns, what happens when the pattern in the training data was itself wrong?</w:t>
            </w:r>
          </w:p>
        </w:tc>
      </w:tr>
    </w:tbl>
    <w:p>
      <w:pPr>
        <w:spacing w:after="80" w:before="0"/>
      </w:pPr>
      <w:r>
        <w:t xml:space="preserve"/>
      </w:r>
    </w:p>
    <w:p>
      <w:pPr>
        <w:spacing w:after="120" w:before="0"/>
      </w:pPr>
      <w:r>
        <w:rPr>
          <w:rFonts w:ascii="Arial" w:cs="Arial" w:eastAsia="Arial" w:hAnsi="Arial"/>
          <w:sz w:val="22"/>
          <w:szCs w:val="22"/>
        </w:rPr>
        <w:t xml:space="preserve">These bridges are short (2–4 sentences), reference the prior concept explicitly, and frame the next concept as a question the learner now has reason to ask. They serve double duty: scaffolding and narrative hook.</w:t>
      </w:r>
    </w:p>
    <w:p>
      <w:pPr>
        <w:spacing w:after="80" w:before="0"/>
      </w:pPr>
      <w:r>
        <w:t xml:space="preserve"/>
      </w:r>
    </w:p>
    <w:p>
      <w:pPr>
        <w:spacing w:after="120" w:before="0"/>
      </w:pPr>
      <w:r>
        <w:rPr>
          <w:rFonts w:ascii="Arial" w:cs="Arial" w:eastAsia="Arial" w:hAnsi="Arial"/>
          <w:sz w:val="22"/>
          <w:szCs w:val="22"/>
        </w:rPr>
        <w:t xml:space="preserve">Expected impact: +2–3 points D3 from ChatGPT. Secondary benefit to D1 (narrative continuity).</w:t>
      </w:r>
    </w:p>
    <w:p>
      <w:pPr>
        <w:spacing w:after="160" w:before="0"/>
      </w:pPr>
      <w:r>
        <w:t xml:space="preserve"/>
      </w:r>
    </w:p>
    <w:p>
      <w:pPr>
        <w:pStyle w:val="Heading2"/>
        <w:spacing w:after="80" w:before="240"/>
      </w:pPr>
      <w:r>
        <w:rPr>
          <w:rFonts w:ascii="Arial" w:cs="Arial" w:eastAsia="Arial" w:hAnsi="Arial"/>
          <w:b/>
          <w:bCs/>
          <w:color w:val="1A8080"/>
        </w:rPr>
        <w:t xml:space="preserve">Proposal 5: Ethics/Bias Case Study Expansion (D2, Priority 5)</w:t>
      </w:r>
    </w:p>
    <w:p>
      <w:pPr>
        <w:spacing w:after="120" w:before="0"/>
      </w:pPr>
      <w:r>
        <w:rPr>
          <w:rFonts w:ascii="Arial" w:cs="Arial" w:eastAsia="Arial" w:hAnsi="Arial"/>
          <w:sz w:val="22"/>
          <w:szCs w:val="22"/>
        </w:rPr>
        <w:t xml:space="preserve">Problem: Gemini flagged ethics and bias coverage as expandable. Current content explains bias as a concept but could go deeper with documented harm cases at the Advanced level.</w:t>
      </w:r>
    </w:p>
    <w:p>
      <w:pPr>
        <w:spacing w:after="80" w:before="0"/>
      </w:pPr>
      <w:r>
        <w:t xml:space="preserve"/>
      </w:r>
    </w:p>
    <w:p>
      <w:pPr>
        <w:spacing w:after="120" w:before="0"/>
      </w:pPr>
      <w:r>
        <w:rPr>
          <w:rFonts w:ascii="Arial" w:cs="Arial" w:eastAsia="Arial" w:hAnsi="Arial"/>
          <w:sz w:val="22"/>
          <w:szCs w:val="22"/>
        </w:rPr>
        <w:t xml:space="preserve">Proposed solution: Add one additional documented case study to the Advanced track that demonstrates a real-world harm outcome from unmitigated AI bias. Candidates include:</w:t>
      </w:r>
    </w:p>
    <w:p>
      <w:pPr>
        <w:pStyle w:val="ListParagraph"/>
        <w:numPr>
          <w:ilvl w:val="0"/>
          <w:numId w:val="2"/>
        </w:numPr>
        <w:spacing w:after="60" w:before="0"/>
        <w:ind w:left="720" w:hanging="360"/>
      </w:pPr>
      <w:r>
        <w:rPr>
          <w:rFonts w:ascii="Arial" w:cs="Arial" w:eastAsia="Arial" w:hAnsi="Arial"/>
          <w:sz w:val="22"/>
          <w:szCs w:val="22"/>
        </w:rPr>
        <w:t xml:space="preserve">Amazon's resume screening tool (2018) — trained on historical hiring data, systematically downgraded applications from women.</w:t>
      </w:r>
    </w:p>
    <w:p>
      <w:pPr>
        <w:pStyle w:val="ListParagraph"/>
        <w:numPr>
          <w:ilvl w:val="0"/>
          <w:numId w:val="2"/>
        </w:numPr>
        <w:spacing w:after="60" w:before="0"/>
        <w:ind w:left="720" w:hanging="360"/>
      </w:pPr>
      <w:r>
        <w:rPr>
          <w:rFonts w:ascii="Arial" w:cs="Arial" w:eastAsia="Arial" w:hAnsi="Arial"/>
          <w:sz w:val="22"/>
          <w:szCs w:val="22"/>
        </w:rPr>
        <w:t xml:space="preserve">COMPAS recidivism algorithm — ProPublica analysis showing racially disparate risk scores with documented downstream effects on sentencing.</w:t>
      </w:r>
    </w:p>
    <w:p>
      <w:pPr>
        <w:pStyle w:val="ListParagraph"/>
        <w:numPr>
          <w:ilvl w:val="0"/>
          <w:numId w:val="2"/>
        </w:numPr>
        <w:spacing w:after="60" w:before="0"/>
        <w:ind w:left="720" w:hanging="360"/>
      </w:pPr>
      <w:r>
        <w:rPr>
          <w:rFonts w:ascii="Arial" w:cs="Arial" w:eastAsia="Arial" w:hAnsi="Arial"/>
          <w:sz w:val="22"/>
          <w:szCs w:val="22"/>
        </w:rPr>
        <w:t xml:space="preserve">Facial recognition misidentification cases in criminal justice (Detroit, NistHal dataset disparities).</w:t>
      </w:r>
    </w:p>
    <w:p>
      <w:pPr>
        <w:spacing w:after="80" w:before="0"/>
      </w:pPr>
      <w:r>
        <w:t xml:space="preserve"/>
      </w:r>
    </w:p>
    <w:p>
      <w:pPr>
        <w:spacing w:after="120" w:before="0"/>
      </w:pPr>
      <w:r>
        <w:rPr>
          <w:rFonts w:ascii="Arial" w:cs="Arial" w:eastAsia="Arial" w:hAnsi="Arial"/>
          <w:sz w:val="22"/>
          <w:szCs w:val="22"/>
        </w:rPr>
        <w:t xml:space="preserve">Each case should include: what the system was designed to do, where the training data introduced bias, what the harm was, and what structural change was required to address it. This is not opinion — it is documented fact, which satisfies the D2 rubric criterion for real-world case fidelity.</w:t>
      </w:r>
    </w:p>
    <w:p>
      <w:pPr>
        <w:spacing w:after="80" w:before="0"/>
      </w:pPr>
      <w:r>
        <w:t xml:space="preserve"/>
      </w:r>
    </w:p>
    <w:p>
      <w:pPr>
        <w:spacing w:after="120" w:before="0"/>
      </w:pPr>
      <w:r>
        <w:rPr>
          <w:rFonts w:ascii="Arial" w:cs="Arial" w:eastAsia="Arial" w:hAnsi="Arial"/>
          <w:sz w:val="22"/>
          <w:szCs w:val="22"/>
        </w:rPr>
        <w:t xml:space="preserve">Expected impact: +1–2 points D2. Substantial boost to perceived rigor and real-world alignment (also aids D5 Perplexity alignment score in future reviews).</w:t>
      </w:r>
    </w:p>
    <w:p>
      <w:pPr>
        <w:spacing w:after="160" w:before="0"/>
      </w:pPr>
      <w:r>
        <w:t xml:space="preserve"/>
      </w:r>
    </w:p>
    <w:p>
      <w:pPr>
        <w:pStyle w:val="Heading2"/>
        <w:spacing w:after="80" w:before="240"/>
      </w:pPr>
      <w:r>
        <w:rPr>
          <w:rFonts w:ascii="Arial" w:cs="Arial" w:eastAsia="Arial" w:hAnsi="Arial"/>
          <w:b/>
          <w:bCs/>
          <w:color w:val="1A8080"/>
        </w:rPr>
        <w:t xml:space="preserve">Proposal 6: Re-entry Checkpoints &amp; Pacing Guides (D4, Priority 6)</w:t>
      </w:r>
    </w:p>
    <w:p>
      <w:pPr>
        <w:spacing w:after="120" w:before="0"/>
      </w:pPr>
      <w:r>
        <w:rPr>
          <w:rFonts w:ascii="Arial" w:cs="Arial" w:eastAsia="Arial" w:hAnsi="Arial"/>
          <w:sz w:val="22"/>
          <w:szCs w:val="22"/>
        </w:rPr>
        <w:t xml:space="preserve">Problem: Perplexity flagged operationally thin pacing. Learners navigating solo have no structural re-entry cues or time orientation.</w:t>
      </w:r>
    </w:p>
    <w:p>
      <w:pPr>
        <w:spacing w:after="80" w:before="0"/>
      </w:pPr>
      <w:r>
        <w:t xml:space="preserve"/>
      </w:r>
    </w:p>
    <w:p>
      <w:pPr>
        <w:spacing w:after="120" w:before="0"/>
      </w:pPr>
      <w:r>
        <w:rPr>
          <w:rFonts w:ascii="Arial" w:cs="Arial" w:eastAsia="Arial" w:hAnsi="Arial"/>
          <w:sz w:val="22"/>
          <w:szCs w:val="22"/>
        </w:rPr>
        <w:t xml:space="preserve">Proposed solution (two parts):</w:t>
      </w:r>
    </w:p>
    <w:p>
      <w:pPr>
        <w:pStyle w:val="ListParagraph"/>
        <w:numPr>
          <w:ilvl w:val="0"/>
          <w:numId w:val="3"/>
        </w:numPr>
        <w:spacing w:after="60" w:before="0"/>
        <w:ind w:left="720" w:hanging="360"/>
      </w:pPr>
      <w:r>
        <w:rPr>
          <w:rFonts w:ascii="Arial" w:cs="Arial" w:eastAsia="Arial" w:hAnsi="Arial"/>
          <w:sz w:val="22"/>
          <w:szCs w:val="22"/>
        </w:rPr>
        <w:t xml:space="preserve">"Where were we?" summary panel — a 3–5 sentence recap at the start of each lesson that refreshes the narrative context and the last concept introduced. This is especially important for self-paced learners who may return after a gap.</w:t>
      </w:r>
    </w:p>
    <w:p>
      <w:pPr>
        <w:pStyle w:val="ListParagraph"/>
        <w:numPr>
          <w:ilvl w:val="0"/>
          <w:numId w:val="3"/>
        </w:numPr>
        <w:spacing w:after="60" w:before="0"/>
        <w:ind w:left="720" w:hanging="360"/>
      </w:pPr>
      <w:r>
        <w:rPr>
          <w:rFonts w:ascii="Arial" w:cs="Arial" w:eastAsia="Arial" w:hAnsi="Arial"/>
          <w:sz w:val="22"/>
          <w:szCs w:val="22"/>
        </w:rPr>
        <w:t xml:space="preserve">Time callouts — add estimated reading/activity time per lesson section (e.g., "Reading: ~8 min | Lab: ~15 min | Quiz: ~5 min"). These set learner expectations and reduce attrition from uncertainty about time commitment.</w:t>
      </w:r>
    </w:p>
    <w:p>
      <w:pPr>
        <w:spacing w:after="80" w:before="0"/>
      </w:pPr>
      <w:r>
        <w:t xml:space="preserve"/>
      </w:r>
    </w:p>
    <w:p>
      <w:pPr>
        <w:spacing w:after="120" w:before="0"/>
      </w:pPr>
      <w:r>
        <w:rPr>
          <w:rFonts w:ascii="Arial" w:cs="Arial" w:eastAsia="Arial" w:hAnsi="Arial"/>
          <w:sz w:val="22"/>
          <w:szCs w:val="22"/>
        </w:rPr>
        <w:t xml:space="preserve">Expected impact: +1–2 points D4. Low effort, high signal — demonstrates learner-centered design intent.</w:t>
      </w:r>
    </w:p>
    <w:p>
      <w:pPr>
        <w:spacing w:after="160" w:before="0"/>
      </w:pPr>
      <w:r>
        <w:t xml:space="preserve"/>
      </w:r>
    </w:p>
    <w:p>
      <w:pPr>
        <w:pStyle w:val="Heading2"/>
        <w:spacing w:after="80" w:before="240"/>
      </w:pPr>
      <w:r>
        <w:rPr>
          <w:rFonts w:ascii="Arial" w:cs="Arial" w:eastAsia="Arial" w:hAnsi="Arial"/>
          <w:b/>
          <w:bCs/>
          <w:color w:val="1A8080"/>
        </w:rPr>
        <w:t xml:space="preserve">Proposal 7: LIBREX/Jordan Narrative Continuity Thread (D1, Priority 7)</w:t>
      </w:r>
    </w:p>
    <w:p>
      <w:pPr>
        <w:spacing w:after="120" w:before="0"/>
      </w:pPr>
      <w:r>
        <w:rPr>
          <w:rFonts w:ascii="Arial" w:cs="Arial" w:eastAsia="Arial" w:hAnsi="Arial"/>
          <w:sz w:val="22"/>
          <w:szCs w:val="22"/>
        </w:rPr>
        <w:t xml:space="preserve">Problem: ChatGPT flagged that character arcs reset between lessons rather than accumulating. LIBREX and Jordan are present but not building a shared history.</w:t>
      </w:r>
    </w:p>
    <w:p>
      <w:pPr>
        <w:spacing w:after="80" w:before="0"/>
      </w:pPr>
      <w:r>
        <w:t xml:space="preserve"/>
      </w:r>
    </w:p>
    <w:p>
      <w:pPr>
        <w:spacing w:after="120" w:before="0"/>
      </w:pPr>
      <w:r>
        <w:rPr>
          <w:rFonts w:ascii="Arial" w:cs="Arial" w:eastAsia="Arial" w:hAnsi="Arial"/>
          <w:sz w:val="22"/>
          <w:szCs w:val="22"/>
        </w:rPr>
        <w:t xml:space="preserve">Proposed solution: Create a simple internal continuity document (not public-facing) that tracks what LIBREX and Jordan have experienced, learned, and said across all lessons of a module. Then add one callback per lesson — a line of dialogue or brief reference — that connects to a prior lesson's event.</w:t>
      </w:r>
    </w:p>
    <w:p>
      <w:pPr>
        <w:spacing w:after="80" w:before="0"/>
      </w:pPr>
      <w:r>
        <w:t xml:space="preserve"/>
      </w:r>
    </w:p>
    <w:p>
      <w:pPr>
        <w:spacing w:after="120" w:before="0"/>
      </w:pPr>
      <w:r>
        <w:rPr>
          <w:rFonts w:ascii="Arial" w:cs="Arial" w:eastAsia="Arial" w:hAnsi="Arial"/>
          <w:sz w:val="22"/>
          <w:szCs w:val="22"/>
        </w:rPr>
        <w:t xml:space="preserve">Example: If Jordan discovered in Lesson 2 that AI can produce confident wrong answers, in Lesson 3 Jordan might begin with "I keep thinking about that wrong answer from yesterday — I wonder if what you're about to explain is related." This is a single sentence, but it signals that the story is continuous, not episodic.</w:t>
      </w:r>
    </w:p>
    <w:p>
      <w:pPr>
        <w:spacing w:after="80" w:before="0"/>
      </w:pPr>
      <w:r>
        <w:t xml:space="preserve"/>
      </w:r>
    </w:p>
    <w:p>
      <w:pPr>
        <w:spacing w:after="120" w:before="0"/>
      </w:pPr>
      <w:r>
        <w:rPr>
          <w:rFonts w:ascii="Arial" w:cs="Arial" w:eastAsia="Arial" w:hAnsi="Arial"/>
          <w:sz w:val="22"/>
          <w:szCs w:val="22"/>
        </w:rPr>
        <w:t xml:space="preserve">Expected impact: +2–3 points D1 from ChatGPT. Secondary: learner engagement and investment in characters increases when characters feel like they're on the same journey.</w:t>
      </w:r>
    </w:p>
    <w:p>
      <w:pPr>
        <w:spacing w:after="240" w:before="0"/>
      </w:pPr>
      <w:r>
        <w:t xml:space="preserve"/>
      </w:r>
    </w:p>
    <w:p>
      <w:pPr>
        <w:pStyle w:val="Heading1"/>
        <w:spacing w:after="120" w:before="360"/>
      </w:pPr>
      <w:r>
        <w:rPr>
          <w:rFonts w:ascii="Arial" w:cs="Arial" w:eastAsia="Arial" w:hAnsi="Arial"/>
          <w:b/>
          <w:bCs/>
          <w:color w:val="0D1F2D"/>
        </w:rPr>
        <w:t xml:space="preserve">5. Projected Score Impact</w:t>
      </w:r>
    </w:p>
    <w:p>
      <w:pPr>
        <w:spacing w:after="120" w:before="0"/>
      </w:pPr>
      <w:r>
        <w:rPr>
          <w:rFonts w:ascii="Arial" w:cs="Arial" w:eastAsia="Arial" w:hAnsi="Arial"/>
          <w:sz w:val="22"/>
          <w:szCs w:val="22"/>
        </w:rPr>
        <w:t xml:space="preserve">The following projects expected panel scores after implementing all seven proposals. Projections are conservative midpoints of the ranges stated in each proposal, applied per reviewer based on which dimensions each reviewer weighted most critically.</w:t>
      </w:r>
    </w:p>
    <w:p>
      <w:pPr>
        <w:spacing w:after="12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960"/>
        <w:gridCol w:w="960"/>
        <w:gridCol w:w="960"/>
        <w:gridCol w:w="960"/>
        <w:gridCol w:w="720"/>
        <w:gridCol w:w="720"/>
        <w:gridCol w:w="720"/>
        <w:gridCol w:w="1320"/>
      </w:tblGrid>
      <w:tr>
        <w:trPr>
          <w:tblHeader/>
        </w:trPr>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r>
              <w:rPr>
                <w:rFonts w:ascii="Arial" w:cs="Arial" w:eastAsia="Arial" w:hAnsi="Arial"/>
                <w:b/>
                <w:bCs/>
                <w:color w:val="FFFFFF"/>
                <w:sz w:val="18"/>
                <w:szCs w:val="18"/>
              </w:rPr>
              <w:t xml:space="preserve">Reviewer</w:t>
            </w:r>
          </w:p>
        </w:tc>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D1</w:t>
            </w:r>
          </w:p>
        </w:tc>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D2</w:t>
            </w:r>
          </w:p>
        </w:tc>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D3</w:t>
            </w:r>
          </w:p>
        </w:tc>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D4</w:t>
            </w:r>
          </w:p>
        </w:tc>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D5</w:t>
            </w:r>
          </w:p>
        </w:tc>
        <w:tc>
          <w:tcPr>
            <w:tcBorders>
              <w:top w:val="single" w:color="0D1F2D" w:sz="1"/>
              <w:left w:val="single" w:color="0D1F2D" w:sz="1"/>
              <w:bottom w:val="single" w:color="0D1F2D" w:sz="1"/>
              <w:right w:val="single" w:color="0D1F2D" w:sz="1"/>
            </w:tcBorders>
            <w:shd w:fill="88888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w:t>
            </w:r>
          </w:p>
        </w:tc>
        <w:tc>
          <w:tcPr>
            <w:tcBorders>
              <w:top w:val="single" w:color="0D1F2D" w:sz="1"/>
              <w:left w:val="single" w:color="0D1F2D" w:sz="1"/>
              <w:bottom w:val="single" w:color="0D1F2D" w:sz="1"/>
              <w:right w:val="single" w:color="0D1F2D" w:sz="1"/>
            </w:tcBorders>
            <w:shd w:fill="1A808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Projected</w:t>
            </w:r>
          </w:p>
        </w:tc>
        <w:tc>
          <w:tcPr>
            <w:tcBorders>
              <w:top w:val="single" w:color="0D1F2D" w:sz="1"/>
              <w:left w:val="single" w:color="0D1F2D" w:sz="1"/>
              <w:bottom w:val="single" w:color="0D1F2D" w:sz="1"/>
              <w:right w:val="single" w:color="0D1F2D" w:sz="1"/>
            </w:tcBorders>
            <w:shd w:fill="C8A84B" w:val="clear"/>
            <w:tcMar>
              <w:top w:type="dxa" w:w="80"/>
              <w:left w:type="dxa" w:w="120"/>
              <w:bottom w:type="dxa" w:w="80"/>
              <w:right w:type="dxa" w:w="120"/>
            </w:tcMar>
          </w:tcPr>
          <w:p>
            <w:pPr>
              <w:jc w:val="center"/>
            </w:pPr>
            <w:r>
              <w:rPr>
                <w:rFonts w:ascii="Arial" w:cs="Arial" w:eastAsia="Arial" w:hAnsi="Arial"/>
                <w:b/>
                <w:bCs/>
                <w:color w:val="0D1F2D"/>
                <w:sz w:val="18"/>
                <w:szCs w:val="18"/>
              </w:rPr>
              <w:t xml:space="preserve">Delta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F2D"/>
                <w:sz w:val="20"/>
                <w:szCs w:val="20"/>
              </w:rPr>
              <w:t xml:space="preserve">Claude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8080"/>
                <w:sz w:val="20"/>
                <w:szCs w:val="20"/>
              </w:rPr>
              <w:t xml:space="preserve">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8080"/>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8080"/>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8080"/>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8080"/>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95</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99</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F2D"/>
                <w:sz w:val="20"/>
                <w:szCs w:val="20"/>
              </w:rPr>
              <w:t xml:space="preserve">Gemini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8080"/>
                <w:sz w:val="20"/>
                <w:szCs w:val="20"/>
              </w:rPr>
              <w:t xml:space="preserve">22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8080"/>
                <w:sz w:val="20"/>
                <w:szCs w:val="20"/>
              </w:rPr>
              <w:t xml:space="preserve">19</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8080"/>
                <w:sz w:val="20"/>
                <w:szCs w:val="20"/>
              </w:rPr>
              <w:t xml:space="preserve">20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8080"/>
                <w:sz w:val="20"/>
                <w:szCs w:val="20"/>
              </w:rPr>
              <w:t xml:space="preserve">15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8080"/>
                <w:sz w:val="20"/>
                <w:szCs w:val="20"/>
              </w:rPr>
              <w:t xml:space="preserve">18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86</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94</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+8</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1F2D"/>
                <w:sz w:val="20"/>
                <w:szCs w:val="20"/>
              </w:rPr>
              <w:t xml:space="preserve">ChatGPT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8080"/>
                <w:sz w:val="20"/>
                <w:szCs w:val="20"/>
              </w:rPr>
              <w:t xml:space="preserve">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8080"/>
                <w:sz w:val="20"/>
                <w:szCs w:val="20"/>
              </w:rPr>
              <w:t xml:space="preserve">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8080"/>
                <w:sz w:val="20"/>
                <w:szCs w:val="20"/>
              </w:rPr>
              <w:t xml:space="preserve">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8080"/>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8080"/>
                <w:sz w:val="20"/>
                <w:szCs w:val="20"/>
              </w:rPr>
              <w:t xml:space="preserve">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77</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89</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+12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1F2D"/>
                <w:sz w:val="20"/>
                <w:szCs w:val="20"/>
              </w:rPr>
              <w:t xml:space="preserve">Perplexity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8080"/>
                <w:sz w:val="20"/>
                <w:szCs w:val="20"/>
              </w:rPr>
              <w:t xml:space="preserve">22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8080"/>
                <w:sz w:val="20"/>
                <w:szCs w:val="20"/>
              </w:rPr>
              <w:t xml:space="preserve">14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8080"/>
                <w:sz w:val="20"/>
                <w:szCs w:val="20"/>
              </w:rPr>
              <w:t xml:space="preserve">20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8080"/>
                <w:sz w:val="20"/>
                <w:szCs w:val="20"/>
              </w:rPr>
              <w:t xml:space="preserve">14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1A8080"/>
                <w:sz w:val="20"/>
                <w:szCs w:val="20"/>
              </w:rPr>
              <w:t xml:space="preserve">18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555555"/>
                <w:sz w:val="20"/>
                <w:szCs w:val="20"/>
              </w:rPr>
              <w:t xml:space="preserve">76</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88</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+12</w:t>
            </w:r>
          </w:p>
        </w:tc>
      </w:tr>
      <w:tr>
        <w:tc>
          <w:tcPr>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r>
              <w:rPr>
                <w:rFonts w:ascii="Arial" w:cs="Arial" w:eastAsia="Arial" w:hAnsi="Arial"/>
                <w:b/>
                <w:bCs/>
                <w:color w:val="1A8080"/>
                <w:sz w:val="20"/>
                <w:szCs w:val="20"/>
              </w:rPr>
              <w:t xml:space="preserve">Projected Panel Avg</w:t>
            </w:r>
          </w:p>
        </w:tc>
        <w:tc>
          <w:tcPr>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tc>
        <w:tc>
          <w:tcPr>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tc>
        <w:tc>
          <w:tcPr>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tc>
        <w:tc>
          <w:tcPr>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tc>
        <w:tc>
          <w:tcPr>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tc>
        <w:tc>
          <w:tcPr>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83.5</w:t>
            </w:r>
          </w:p>
        </w:tc>
        <w:tc>
          <w:tcPr>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pPr>
              <w:jc w:val="center"/>
            </w:pPr>
            <w:r>
              <w:rPr>
                <w:rFonts w:ascii="Arial" w:cs="Arial" w:eastAsia="Arial" w:hAnsi="Arial"/>
                <w:b/>
                <w:bCs/>
                <w:color w:val="1A8080"/>
                <w:sz w:val="22"/>
                <w:szCs w:val="22"/>
              </w:rPr>
              <w:t xml:space="preserve">91.0</w:t>
            </w:r>
          </w:p>
        </w:tc>
        <w:tc>
          <w:tcPr>
            <w:tcBorders>
              <w:top w:val="single" w:color="1A8080" w:sz="1"/>
              <w:left w:val="single" w:color="1A8080" w:sz="1"/>
              <w:bottom w:val="single" w:color="1A8080" w:sz="1"/>
              <w:right w:val="single" w:color="1A8080" w:sz="1"/>
            </w:tcBorders>
            <w:shd w:fill="EAF4F4" w:val="clear"/>
            <w:tcMar>
              <w:top w:type="dxa" w:w="80"/>
              <w:left w:type="dxa" w:w="120"/>
              <w:bottom w:type="dxa" w:w="80"/>
              <w:right w:type="dxa" w:w="120"/>
            </w:tcMar>
          </w:tcPr>
          <w:p>
            <w:pPr>
              <w:jc w:val="center"/>
            </w:pPr>
            <w:r>
              <w:rPr>
                <w:rFonts w:ascii="Arial" w:cs="Arial" w:eastAsia="Arial" w:hAnsi="Arial"/>
                <w:b/>
                <w:bCs/>
                <w:color w:val="1A8080"/>
                <w:sz w:val="22"/>
                <w:szCs w:val="22"/>
              </w:rPr>
              <w:t xml:space="preserve">+7.5</w:t>
            </w:r>
          </w:p>
        </w:tc>
      </w:tr>
    </w:tbl>
    <w:p>
      <w:pPr>
        <w:spacing w:after="120" w:before="0"/>
      </w:pPr>
      <w:r>
        <w:t xml:space="preserve"/>
      </w:r>
    </w:p>
    <w:p>
      <w:pPr>
        <w:spacing w:after="120" w:before="0"/>
      </w:pPr>
      <w:r>
        <w:rPr>
          <w:rFonts w:ascii="Arial" w:cs="Arial" w:eastAsia="Arial" w:hAnsi="Arial"/>
          <w:sz w:val="22"/>
          <w:szCs w:val="22"/>
        </w:rPr>
        <w:t xml:space="preserve">Implementing all seven proposals projects the panel average from 83.5 to approximately 91.0 — moving from "Solid Pass" territory to "Strong Pass" across all reviewers. Critically, the two weakest scores (ChatGPT 77, Perplexity 76) would both clear 85, substantially increasing confidence in the curriculum's readiness for external validation.</w:t>
      </w:r>
    </w:p>
    <w:p>
      <w:pPr>
        <w:spacing w:after="240" w:before="0"/>
      </w:pPr>
      <w:r>
        <w:t xml:space="preserve"/>
      </w:r>
    </w:p>
    <w:p>
      <w:pPr>
        <w:pStyle w:val="Heading1"/>
        <w:spacing w:after="120" w:before="360"/>
      </w:pPr>
      <w:r>
        <w:rPr>
          <w:rFonts w:ascii="Arial" w:cs="Arial" w:eastAsia="Arial" w:hAnsi="Arial"/>
          <w:b/>
          <w:bCs/>
          <w:color w:val="0D1F2D"/>
        </w:rPr>
        <w:t xml:space="preserve">6. Implementation Sequencing</w:t>
      </w:r>
    </w:p>
    <w:p>
      <w:pPr>
        <w:spacing w:after="120" w:before="0"/>
      </w:pPr>
      <w:r>
        <w:rPr>
          <w:rFonts w:ascii="Arial" w:cs="Arial" w:eastAsia="Arial" w:hAnsi="Arial"/>
          <w:sz w:val="22"/>
          <w:szCs w:val="22"/>
        </w:rPr>
        <w:t xml:space="preserve">Recommended order of implementation for Module 1 Advanced track revision. Proposals are sequenced by leverage-to-effort ratio, not by proposal number.</w:t>
      </w:r>
    </w:p>
    <w:p>
      <w:pPr>
        <w:spacing w:after="12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2400"/>
        <w:gridCol w:w="1800"/>
        <w:gridCol w:w="1800"/>
      </w:tblGrid>
      <w:tr>
        <w:trPr>
          <w:tblHeader/>
        </w:trPr>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r>
              <w:rPr>
                <w:rFonts w:ascii="Arial" w:cs="Arial" w:eastAsia="Arial" w:hAnsi="Arial"/>
                <w:b/>
                <w:bCs/>
                <w:color w:val="FFFFFF"/>
                <w:sz w:val="18"/>
                <w:szCs w:val="18"/>
              </w:rPr>
              <w:t xml:space="preserve">Files Affected</w:t>
            </w:r>
          </w:p>
        </w:tc>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r>
              <w:rPr>
                <w:rFonts w:ascii="Arial" w:cs="Arial" w:eastAsia="Arial" w:hAnsi="Arial"/>
                <w:b/>
                <w:bCs/>
                <w:color w:val="FFFFFF"/>
                <w:sz w:val="18"/>
                <w:szCs w:val="18"/>
              </w:rPr>
              <w:t xml:space="preserve">Est. Time</w:t>
            </w:r>
          </w:p>
        </w:tc>
        <w:tc>
          <w:tcPr>
            <w:tcBorders>
              <w:top w:val="single" w:color="0D1F2D" w:sz="1"/>
              <w:left w:val="single" w:color="0D1F2D" w:sz="1"/>
              <w:bottom w:val="single" w:color="0D1F2D" w:sz="1"/>
              <w:right w:val="single" w:color="0D1F2D" w:sz="1"/>
            </w:tcBorders>
            <w:shd w:fill="0D1F2D" w:val="clear"/>
            <w:tcMar>
              <w:top w:type="dxa" w:w="80"/>
              <w:left w:type="dxa" w:w="120"/>
              <w:bottom w:type="dxa" w:w="80"/>
              <w:right w:type="dxa" w:w="120"/>
            </w:tcMar>
          </w:tcPr>
          <w:p>
            <w:r>
              <w:rPr>
                <w:rFonts w:ascii="Arial" w:cs="Arial" w:eastAsia="Arial" w:hAnsi="Arial"/>
                <w:b/>
                <w:bCs/>
                <w:color w:val="FFFFFF"/>
                <w:sz w:val="18"/>
                <w:szCs w:val="18"/>
              </w:rPr>
              <w:t xml:space="preserve">Score Impact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1A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F2D"/>
                <w:sz w:val="20"/>
                <w:szCs w:val="20"/>
              </w:rPr>
              <w:t xml:space="preserve">Create Lab Checkpoint template block (HTML/CSS component)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Template file + advanced.html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D1F2D"/>
                <w:sz w:val="20"/>
                <w:szCs w:val="20"/>
              </w:rPr>
              <w:t xml:space="preserve">1–2 hrs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+3–5 D5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1B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1F2D"/>
                <w:sz w:val="20"/>
                <w:szCs w:val="20"/>
              </w:rPr>
              <w:t xml:space="preserve">Add stakes scenes before each concept section in advanced.html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advanced.html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0D1F2D"/>
                <w:sz w:val="20"/>
                <w:szCs w:val="20"/>
              </w:rPr>
              <w:t xml:space="preserve">2–3 hrs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+3–5 D1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2A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F2D"/>
                <w:sz w:val="20"/>
                <w:szCs w:val="20"/>
              </w:rPr>
              <w:t xml:space="preserve">Convert quiz items to scenario-based format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advanced.html quiz sections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D1F2D"/>
                <w:sz w:val="20"/>
                <w:szCs w:val="20"/>
              </w:rPr>
              <w:t xml:space="preserve">2–3 hrs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+2–4 D5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2B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1F2D"/>
                <w:sz w:val="20"/>
                <w:szCs w:val="20"/>
              </w:rPr>
              <w:t xml:space="preserve">Add LIBREX/Jordan continuity thread (internal notes + line inserts)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advanced.html + continuity doc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0D1F2D"/>
                <w:sz w:val="20"/>
                <w:szCs w:val="20"/>
              </w:rPr>
              <w:t xml:space="preserve">1–2 hrs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+2–3 D1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3A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F2D"/>
                <w:sz w:val="20"/>
                <w:szCs w:val="20"/>
              </w:rPr>
              <w:t xml:space="preserve">Add concept bridge callout boxes between sub-concepts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advanced.html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D1F2D"/>
                <w:sz w:val="20"/>
                <w:szCs w:val="20"/>
              </w:rPr>
              <w:t xml:space="preserve">1–2 hrs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+2–3 D3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3B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1F2D"/>
                <w:sz w:val="20"/>
                <w:szCs w:val="20"/>
              </w:rPr>
              <w:t xml:space="preserve">Add re-entry "Where were we?" panels + time callouts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advanced.html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0D1F2D"/>
                <w:sz w:val="20"/>
                <w:szCs w:val="20"/>
              </w:rPr>
              <w:t xml:space="preserve">1 hr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+1–2 D4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4A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F2D"/>
                <w:sz w:val="20"/>
                <w:szCs w:val="20"/>
              </w:rPr>
              <w:t xml:space="preserve">Write and insert ethics/bias case study (Amazon/COMPAS)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advanced.html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D1F2D"/>
                <w:sz w:val="20"/>
                <w:szCs w:val="20"/>
              </w:rPr>
              <w:t xml:space="preserve">1–2 hrs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+1–2 D2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4B</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D1F2D"/>
                <w:sz w:val="20"/>
                <w:szCs w:val="20"/>
              </w:rPr>
              <w:t xml:space="preserve">Apply Lab Checkpoint template to intro.html and basic.html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18"/>
                <w:szCs w:val="18"/>
              </w:rPr>
              <w:t xml:space="preserve">intro.html, basic.html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0D1F2D"/>
                <w:sz w:val="20"/>
                <w:szCs w:val="20"/>
              </w:rPr>
              <w:t xml:space="preserve">1 hr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A8080"/>
                <w:sz w:val="20"/>
                <w:szCs w:val="20"/>
              </w:rPr>
              <w:t xml:space="preserve">Consistency</w:t>
            </w:r>
          </w:p>
        </w:tc>
      </w:tr>
    </w:tbl>
    <w:p>
      <w:pPr>
        <w:spacing w:after="120" w:before="0"/>
      </w:pPr>
      <w:r>
        <w:t xml:space="preserve"/>
      </w:r>
    </w:p>
    <w:p>
      <w:pPr>
        <w:spacing w:after="120" w:before="0"/>
      </w:pPr>
      <w:r>
        <w:rPr>
          <w:rFonts w:ascii="Arial" w:cs="Arial" w:eastAsia="Arial" w:hAnsi="Arial"/>
          <w:sz w:val="22"/>
          <w:szCs w:val="22"/>
        </w:rPr>
        <w:t xml:space="preserve">Total estimated implementation time: 10–17 hours for Module 1 Advanced track. Phases 1A and 2A are the highest-priority items and should be completed first as they address the most consistent cross-reviewer findings.</w:t>
      </w:r>
    </w:p>
    <w:p>
      <w:pPr>
        <w:spacing w:after="240" w:before="0"/>
      </w:pPr>
      <w:r>
        <w:t xml:space="preserve"/>
      </w:r>
    </w:p>
    <w:p>
      <w:pPr>
        <w:pStyle w:val="Heading1"/>
        <w:spacing w:after="120" w:before="360"/>
      </w:pPr>
      <w:r>
        <w:rPr>
          <w:rFonts w:ascii="Arial" w:cs="Arial" w:eastAsia="Arial" w:hAnsi="Arial"/>
          <w:b/>
          <w:bCs/>
          <w:color w:val="0D1F2D"/>
        </w:rPr>
        <w:t xml:space="preserve">7. GenCon 2026 Readiness Context</w:t>
      </w:r>
    </w:p>
    <w:p>
      <w:pPr>
        <w:spacing w:after="120" w:before="0"/>
      </w:pPr>
      <w:r>
        <w:rPr>
          <w:rFonts w:ascii="Arial" w:cs="Arial" w:eastAsia="Arial" w:hAnsi="Arial"/>
          <w:sz w:val="22"/>
          <w:szCs w:val="22"/>
        </w:rPr>
        <w:t xml:space="preserve">Target: GenCon 2026, July 30–August 2, Indianapolis.</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8A84B" w:sz="1"/>
              <w:left w:val="single" w:color="C8A84B" w:sz="1"/>
              <w:bottom w:val="single" w:color="C8A84B" w:sz="1"/>
              <w:right w:val="single" w:color="C8A84B" w:sz="1"/>
            </w:tcBorders>
            <w:shd w:fill="FFF8E1" w:val="clear"/>
            <w:tcMar>
              <w:top w:type="dxa" w:w="160"/>
              <w:left w:type="dxa" w:w="240"/>
              <w:bottom w:type="dxa" w:w="160"/>
              <w:right w:type="dxa" w:w="240"/>
            </w:tcMar>
          </w:tcPr>
          <w:p>
            <w:r>
              <w:rPr>
                <w:rFonts w:ascii="Arial" w:cs="Arial" w:eastAsia="Arial" w:hAnsi="Arial"/>
                <w:b/>
                <w:bCs/>
                <w:color w:val="0D1F2D"/>
                <w:sz w:val="22"/>
                <w:szCs w:val="22"/>
              </w:rPr>
              <w:t xml:space="preserve">Current state: </w:t>
            </w:r>
            <w:r>
              <w:rPr>
                <w:rFonts w:ascii="Arial" w:cs="Arial" w:eastAsia="Arial" w:hAnsi="Arial"/>
                <w:color w:val="0D1F2D"/>
                <w:sz w:val="22"/>
                <w:szCs w:val="22"/>
              </w:rPr>
              <w:t xml:space="preserve">Panel average 83.5 = Solid Pass. The curriculum is demonstrably functional and pedagogically sound. This is sufficient for a beta demo context.</w:t>
            </w:r>
          </w:p>
          <w:p>
            <w:pPr>
              <w:spacing w:after="80" w:before="0"/>
            </w:pPr>
            <w:r>
              <w:t xml:space="preserve"/>
            </w:r>
          </w:p>
          <w:p>
            <w:r>
              <w:rPr>
                <w:rFonts w:ascii="Arial" w:cs="Arial" w:eastAsia="Arial" w:hAnsi="Arial"/>
                <w:b/>
                <w:bCs/>
                <w:color w:val="1A8080"/>
                <w:sz w:val="22"/>
                <w:szCs w:val="22"/>
              </w:rPr>
              <w:t xml:space="preserve">Post-revision state: </w:t>
            </w:r>
            <w:r>
              <w:rPr>
                <w:rFonts w:ascii="Arial" w:cs="Arial" w:eastAsia="Arial" w:hAnsi="Arial"/>
                <w:color w:val="0D1F2D"/>
                <w:sz w:val="22"/>
                <w:szCs w:val="22"/>
              </w:rPr>
              <w:t xml:space="preserve">Panel average ~91 = Strong Pass. This is the target state for GenCon presentation, where external educators and potential institutional partners will be evaluating the platform.</w:t>
            </w:r>
          </w:p>
          <w:p>
            <w:pPr>
              <w:spacing w:after="80" w:before="0"/>
            </w:pPr>
            <w:r>
              <w:t xml:space="preserve"/>
            </w:r>
          </w:p>
          <w:p>
            <w:r>
              <w:rPr>
                <w:rFonts w:ascii="Arial" w:cs="Arial" w:eastAsia="Arial" w:hAnsi="Arial"/>
                <w:b/>
                <w:bCs/>
                <w:color w:val="7B3F00"/>
                <w:sz w:val="22"/>
                <w:szCs w:val="22"/>
              </w:rPr>
              <w:t xml:space="preserve">Key message: </w:t>
            </w:r>
            <w:r>
              <w:rPr>
                <w:rFonts w:ascii="Arial" w:cs="Arial" w:eastAsia="Arial" w:hAnsi="Arial"/>
                <w:color w:val="0D1F2D"/>
                <w:sz w:val="22"/>
                <w:szCs w:val="22"/>
              </w:rPr>
              <w:t xml:space="preserve">The 4-reviewer panel review methodology itself is a GenCon talking point. The fact that AESOP AI Academy was put through a structured multi-LLM review before launch demonstrates the kind of evidence-based rigor that distinguishes this platform from AI curriculum that ships without external validation.</w:t>
            </w:r>
          </w:p>
        </w:tc>
      </w:tr>
    </w:tbl>
    <w:p>
      <w:pPr>
        <w:spacing w:after="240" w:before="0"/>
      </w:pPr>
      <w:r>
        <w:t xml:space="preserve"/>
      </w:r>
    </w:p>
    <w:p>
      <w:pPr>
        <w:pStyle w:val="Heading1"/>
        <w:spacing w:after="120" w:before="360"/>
      </w:pPr>
      <w:r>
        <w:rPr>
          <w:rFonts w:ascii="Arial" w:cs="Arial" w:eastAsia="Arial" w:hAnsi="Arial"/>
          <w:b/>
          <w:bCs/>
          <w:color w:val="0D1F2D"/>
        </w:rPr>
        <w:t xml:space="preserve">8. Summary &amp; Next Steps</w:t>
      </w:r>
    </w:p>
    <w:p>
      <w:pPr>
        <w:spacing w:after="120" w:before="0"/>
      </w:pPr>
      <w:r>
        <w:rPr>
          <w:rFonts w:ascii="Arial" w:cs="Arial" w:eastAsia="Arial" w:hAnsi="Arial"/>
          <w:sz w:val="22"/>
          <w:szCs w:val="22"/>
        </w:rPr>
        <w:t xml:space="preserve">The AESOP AI Academy Module 1 panel review confirms that the curriculum's structural foundation — its differentiated architecture, delivery orientation, and narrative framework — is working. Four independent reviewers across four distinct evaluation lenses all reached a Pass verdict.</w:t>
      </w:r>
    </w:p>
    <w:p>
      <w:pPr>
        <w:spacing w:after="80" w:before="0"/>
      </w:pPr>
      <w:r>
        <w:t xml:space="preserve"/>
      </w:r>
    </w:p>
    <w:p>
      <w:pPr>
        <w:spacing w:after="120" w:before="0"/>
      </w:pPr>
      <w:r>
        <w:rPr>
          <w:rFonts w:ascii="Arial" w:cs="Arial" w:eastAsia="Arial" w:hAnsi="Arial"/>
          <w:sz w:val="22"/>
          <w:szCs w:val="22"/>
        </w:rPr>
        <w:t xml:space="preserve">The path from 83.5 to 91+ is specific, actionable, and concentrated in two areas:</w:t>
      </w:r>
    </w:p>
    <w:p>
      <w:pPr>
        <w:pStyle w:val="ListParagraph"/>
        <w:numPr>
          <w:ilvl w:val="0"/>
          <w:numId w:val="2"/>
        </w:numPr>
        <w:spacing w:after="60" w:before="0"/>
        <w:ind w:left="720" w:hanging="360"/>
      </w:pPr>
      <w:r>
        <w:rPr>
          <w:rFonts w:ascii="Arial" w:cs="Arial" w:eastAsia="Arial" w:hAnsi="Arial"/>
          <w:sz w:val="22"/>
          <w:szCs w:val="22"/>
        </w:rPr>
        <w:t xml:space="preserve">Assessment design (D5) — make completion criteria explicit and shift quiz items from recall to judgment.</w:t>
      </w:r>
    </w:p>
    <w:p>
      <w:pPr>
        <w:pStyle w:val="ListParagraph"/>
        <w:numPr>
          <w:ilvl w:val="0"/>
          <w:numId w:val="2"/>
        </w:numPr>
        <w:spacing w:after="60" w:before="0"/>
        <w:ind w:left="720" w:hanging="360"/>
      </w:pPr>
      <w:r>
        <w:rPr>
          <w:rFonts w:ascii="Arial" w:cs="Arial" w:eastAsia="Arial" w:hAnsi="Arial"/>
          <w:sz w:val="22"/>
          <w:szCs w:val="22"/>
        </w:rPr>
        <w:t xml:space="preserve">Narrative depth (D1) — let the story dramatize before it explains, and let characters carry continuity across lessons.</w:t>
      </w:r>
    </w:p>
    <w:p>
      <w:pPr>
        <w:spacing w:after="80" w:before="0"/>
      </w:pPr>
      <w:r>
        <w:t xml:space="preserve"/>
      </w:r>
    </w:p>
    <w:p>
      <w:pPr>
        <w:spacing w:after="120" w:before="0"/>
      </w:pPr>
      <w:r>
        <w:rPr>
          <w:rFonts w:ascii="Arial" w:cs="Arial" w:eastAsia="Arial" w:hAnsi="Arial"/>
          <w:sz w:val="22"/>
          <w:szCs w:val="22"/>
        </w:rPr>
        <w:t xml:space="preserve">The remaining proposals address real gaps identified by specific reviewers but carry proportionally smaller score impact. They should be implemented, but after Phases 1 and 2 are complete and re-reviewed.</w:t>
      </w:r>
    </w:p>
    <w:p>
      <w:pPr>
        <w:spacing w:after="120" w:before="0"/>
      </w:pPr>
      <w:r>
        <w:t xml:space="preserve"/>
      </w:r>
    </w:p>
    <w:p>
      <w:pPr>
        <w:pStyle w:val="Heading3"/>
        <w:spacing w:after="60" w:before="160"/>
      </w:pPr>
      <w:r>
        <w:rPr>
          <w:rFonts w:ascii="Arial" w:cs="Arial" w:eastAsia="Arial" w:hAnsi="Arial"/>
          <w:b/>
          <w:bCs/>
          <w:color w:val="555555"/>
          <w:sz w:val="24"/>
          <w:szCs w:val="24"/>
        </w:rPr>
        <w:t xml:space="preserve">Recommended immediate actions:</w:t>
      </w:r>
    </w:p>
    <w:p>
      <w:pPr>
        <w:pStyle w:val="ListParagraph"/>
        <w:numPr>
          <w:ilvl w:val="0"/>
          <w:numId w:val="3"/>
        </w:numPr>
        <w:spacing w:after="60" w:before="0"/>
        <w:ind w:left="720" w:hanging="360"/>
      </w:pPr>
      <w:r>
        <w:rPr>
          <w:rFonts w:ascii="Arial" w:cs="Arial" w:eastAsia="Arial" w:hAnsi="Arial"/>
          <w:sz w:val="22"/>
          <w:szCs w:val="22"/>
        </w:rPr>
        <w:t xml:space="preserve">Build the Lab Checkpoint template component (reusable across all modules).</w:t>
      </w:r>
    </w:p>
    <w:p>
      <w:pPr>
        <w:pStyle w:val="ListParagraph"/>
        <w:numPr>
          <w:ilvl w:val="0"/>
          <w:numId w:val="3"/>
        </w:numPr>
        <w:spacing w:after="60" w:before="0"/>
        <w:ind w:left="720" w:hanging="360"/>
      </w:pPr>
      <w:r>
        <w:rPr>
          <w:rFonts w:ascii="Arial" w:cs="Arial" w:eastAsia="Arial" w:hAnsi="Arial"/>
          <w:sz w:val="22"/>
          <w:szCs w:val="22"/>
        </w:rPr>
        <w:t xml:space="preserve">Write 3–5 stakes scenes for advanced.html concept introductions.</w:t>
      </w:r>
    </w:p>
    <w:p>
      <w:pPr>
        <w:pStyle w:val="ListParagraph"/>
        <w:numPr>
          <w:ilvl w:val="0"/>
          <w:numId w:val="3"/>
        </w:numPr>
        <w:spacing w:after="60" w:before="0"/>
        <w:ind w:left="720" w:hanging="360"/>
      </w:pPr>
      <w:r>
        <w:rPr>
          <w:rFonts w:ascii="Arial" w:cs="Arial" w:eastAsia="Arial" w:hAnsi="Arial"/>
          <w:sz w:val="22"/>
          <w:szCs w:val="22"/>
        </w:rPr>
        <w:t xml:space="preserve">Audit and convert quiz items in advanced.html to scenario-based format.</w:t>
      </w:r>
    </w:p>
    <w:p>
      <w:pPr>
        <w:pStyle w:val="ListParagraph"/>
        <w:numPr>
          <w:ilvl w:val="0"/>
          <w:numId w:val="3"/>
        </w:numPr>
        <w:spacing w:after="60" w:before="0"/>
        <w:ind w:left="720" w:hanging="360"/>
      </w:pPr>
      <w:r>
        <w:rPr>
          <w:rFonts w:ascii="Arial" w:cs="Arial" w:eastAsia="Arial" w:hAnsi="Arial"/>
          <w:sz w:val="22"/>
          <w:szCs w:val="22"/>
        </w:rPr>
        <w:t xml:space="preserve">Run a targeted re-review of advanced.html with at least one external reviewer after implementation.</w:t>
      </w:r>
    </w:p>
    <w:p>
      <w:pPr>
        <w:spacing w:after="160" w:before="0"/>
      </w:pPr>
      <w:r>
        <w:t xml:space="preserve"/>
      </w:r>
    </w:p>
    <w:p>
      <w:pPr>
        <w:pBdr>
          <w:bottom w:val="single" w:color="1A8080" w:sz="6" w:space="1"/>
        </w:pBdr>
        <w:spacing w:after="60" w:before="60"/>
      </w:pPr>
      <w:r>
        <w:t xml:space="preserve"/>
      </w:r>
    </w:p>
    <w:p>
      <w:pPr>
        <w:spacing w:after="0" w:before="120"/>
        <w:jc w:val="center"/>
      </w:pPr>
      <w:r>
        <w:rPr>
          <w:rFonts w:ascii="Arial" w:cs="Arial" w:eastAsia="Arial" w:hAnsi="Arial"/>
          <w:i/>
          <w:iCs/>
          <w:color w:val="888888"/>
          <w:sz w:val="18"/>
          <w:szCs w:val="18"/>
        </w:rPr>
        <w:t xml:space="preserve">PlayAGame.ai™  |  AESOP AI Academy  |  Patent Pending App #64/018,565  |  scott@playagame.ai</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AESOP AI Academy — Panel Review Analysis &amp; Improvement Proposal  |  PlayAGame.ai™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F2D"/>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8080"/>
      <w:sz w:val="28"/>
      <w:szCs w:val="28"/>
    </w:rPr>
  </w:style>
  <w:style w:type="paragraph" w:styleId="Heading3">
    <w:name w:val="Heading 3"/>
    <w:basedOn w:val="Normal"/>
    <w:next w:val="Normal"/>
    <w:qFormat/>
    <w:pPr>
      <w:spacing w:after="60" w:before="1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2026-04-08T02:51:23.815Z</dcterms:created>
  <dcterms:modified xsi:type="dcterms:W3CDTF">2026-04-08T02:51:23.816Z</dcterms:modified>
</cp:coreProperties>
</file>

<file path=docProps/custom.xml><?xml version="1.0" encoding="utf-8"?>
<Properties xmlns="http://schemas.openxmlformats.org/officeDocument/2006/custom-properties" xmlns:vt="http://schemas.openxmlformats.org/officeDocument/2006/docPropsVTypes"/>
</file>