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jc w:val="center"/>
      </w:pPr>
      <w:r>
        <w:rPr>
          <w:rFonts w:ascii="Arial" w:cs="Arial" w:eastAsia="Arial" w:hAnsi="Arial"/>
          <w:b/>
          <w:bCs/>
          <w:color w:val="1E3A5F"/>
          <w:sz w:val="52"/>
          <w:szCs w:val="52"/>
        </w:rPr>
        <w:t xml:space="preserve">AESOP ACADEMY</w:t>
      </w:r>
    </w:p>
    <w:p>
      <w:pPr>
        <w:jc w:val="center"/>
      </w:pPr>
      <w:r>
        <w:rPr>
          <w:rFonts w:ascii="Arial" w:cs="Arial" w:eastAsia="Arial" w:hAnsi="Arial"/>
          <w:b w:val="false"/>
          <w:bCs w:val="false"/>
          <w:color w:val="2E75B6"/>
          <w:sz w:val="36"/>
          <w:szCs w:val="36"/>
        </w:rPr>
        <w:t xml:space="preserve">AI4K12 Standards Alignment Evaluation</w:t>
      </w:r>
    </w:p>
    <w:p>
      <w:pPr>
        <w:spacing w:after="0" w:before="80"/>
      </w:pPr>
      <w:r>
        <w:t xml:space="preserve"/>
      </w:r>
    </w:p>
    <w:p>
      <w:pPr>
        <w:jc w:val="center"/>
      </w:pPr>
      <w:r>
        <w:rPr>
          <w:rFonts w:ascii="Arial" w:cs="Arial" w:eastAsia="Arial" w:hAnsi="Arial"/>
          <w:i/>
          <w:iCs/>
          <w:color w:val="666666"/>
          <w:sz w:val="22"/>
          <w:szCs w:val="22"/>
        </w:rPr>
        <w:t xml:space="preserve">April 2026  |  Internal Review Document</w:t>
      </w:r>
    </w:p>
    <w:p>
      <w:pPr>
        <w:spacing w:after="0" w:before="240"/>
      </w:pPr>
      <w:r>
        <w:t xml:space="preserve"/>
      </w:r>
    </w:p>
    <w:p>
      <w:pPr>
        <w:pBdr>
          <w:bottom w:val="single" w:color="C9A227" w:sz="12" w:space="1"/>
        </w:pBdr>
        <w:spacing w:after="240" w:before="0"/>
      </w:pPr>
      <w:r>
        <w:t xml:space="preserve"/>
      </w:r>
    </w:p>
    <w:p>
      <w:pPr>
        <w:jc w:val="center"/>
      </w:pPr>
      <w:r>
        <w:rPr>
          <w:rFonts w:ascii="Arial" w:cs="Arial" w:eastAsia="Arial" w:hAnsi="Arial"/>
          <w:color w:val="1E3A5F"/>
          <w:sz w:val="24"/>
          <w:szCs w:val="24"/>
        </w:rPr>
        <w:t xml:space="preserve">23 Live Courses  |  5 AI4K12 Big Ideas  |  4 Grade Bands</w:t>
      </w:r>
    </w:p>
    <w:p>
      <w:pPr>
        <w:spacing w:after="0" w:before="480"/>
      </w:pPr>
      <w:r>
        <w:t xml:space="preserve"/>
      </w:r>
    </w:p>
    <w:p>
      <w:pPr>
        <w:jc w:val="center"/>
      </w:pPr>
      <w:r>
        <w:rPr>
          <w:rFonts w:ascii="Arial" w:cs="Arial" w:eastAsia="Arial" w:hAnsi="Arial"/>
          <w:i/>
          <w:iCs/>
          <w:color w:val="555555"/>
          <w:sz w:val="20"/>
          <w:szCs w:val="20"/>
        </w:rPr>
        <w:t xml:space="preserve">Prepared for internal strategic review and accreditation planning.</w:t>
      </w:r>
    </w:p>
    <w:p>
      <w:r>
        <w:br w:type="page"/>
      </w:r>
    </w:p>
    <w:p>
      <w:pPr>
        <w:pStyle w:val="Heading1"/>
        <w:spacing w:after="160" w:before="320"/>
      </w:pPr>
      <w:r>
        <w:rPr>
          <w:rFonts w:ascii="Arial" w:cs="Arial" w:eastAsia="Arial" w:hAnsi="Arial"/>
          <w:b/>
          <w:bCs/>
          <w:color w:val="1E3A5F"/>
          <w:sz w:val="32"/>
          <w:szCs w:val="32"/>
        </w:rPr>
        <w:t xml:space="preserve">About This Evaluation</w:t>
      </w:r>
    </w:p>
    <w:p>
      <w:pPr>
        <w:spacing w:after="60" w:before="60"/>
      </w:pPr>
      <w:r>
        <w:rPr>
          <w:rFonts w:ascii="Arial" w:cs="Arial" w:eastAsia="Arial" w:hAnsi="Arial"/>
          <w:sz w:val="22"/>
          <w:szCs w:val="22"/>
        </w:rPr>
        <w:t xml:space="preserve">This document evaluates Aesop Academy's current live course catalog against the AI4K12 Five Big Ideas in Artificial Intelligence — the de facto national standard for K-12 AI education in the United States, developed through a collaboration between the Association for the Advancement of Artificial Intelligence (AAAI), the Computer Science Teachers Association (CSTA), and the National Science Foundation.</w:t>
      </w:r>
    </w:p>
    <w:p>
      <w:pPr>
        <w:spacing w:after="0" w:before="120"/>
      </w:pPr>
      <w:r>
        <w:t xml:space="preserve"/>
      </w:r>
    </w:p>
    <w:p>
      <w:pPr>
        <w:spacing w:after="60" w:before="60"/>
      </w:pPr>
      <w:r>
        <w:rPr>
          <w:rFonts w:ascii="Arial" w:cs="Arial" w:eastAsia="Arial" w:hAnsi="Arial"/>
          <w:sz w:val="22"/>
          <w:szCs w:val="22"/>
        </w:rPr>
        <w:t xml:space="preserve">AI4K12 organizes AI education around five foundational concepts, each with grade-band progressions across K-2, 3-5, 6-8, and 9-12. Alignment to these standards is increasingly expected in K-12 district procurement conversations and is cited in state AI education guidance documents across 28+ states as of 2026.</w:t>
      </w:r>
    </w:p>
    <w:p>
      <w:pPr>
        <w:spacing w:after="0" w:before="12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The Five Big Ideas in AI (AI4K12)</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760"/>
        <w:gridCol w:w="6960"/>
      </w:tblGrid>
      <w:tr>
        <w:trPr>
          <w:tblHeader/>
        </w:trPr>
        <w:tc>
          <w:tcPr>
            <w:tcW w:type="dxa" w:w="6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Big Idea</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Core Concept</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BI 1</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Perception</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Computers perceive the world using sensors — cameras, microphones, and other inputs. Students learn how AI systems collect, process, and interpret raw sensory data, including the limitations and biases inherent in this process.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BI 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Representation &amp; Reasoning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 maintain representations of the world and use them for reasoning. Students explore how AI systems model knowledge — through rules, graphs, and logic — and make decisions or solve problems based on those representations.</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BI 3</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Learning</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Computers can learn from data. Students understand supervised, unsupervised, and reinforcement learning; how training data shapes model behavior; and why bias in data leads to bias in outcomes.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BI 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Natural Interaction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Intelligent agents require many kinds of knowledge to interact naturally with humans — language, emotion, social conventions, and context. Students explore NLP, conversational AI, and the design of human-AI interfaces.</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BI 5</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Societal Impact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AI can impact society in both positive and negative ways. Students critically examine fairness, privacy, economic displacement, governance, and the ethical responsibilities of AI developers and users.</w:t>
            </w:r>
          </w:p>
        </w:tc>
      </w:tr>
    </w:tbl>
    <w:p>
      <w:pPr>
        <w:spacing w:after="0" w:before="12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Evaluation Methodology</w:t>
      </w:r>
    </w:p>
    <w:p>
      <w:pPr>
        <w:spacing w:after="60" w:before="60"/>
      </w:pPr>
      <w:r>
        <w:rPr>
          <w:rFonts w:ascii="Arial" w:cs="Arial" w:eastAsia="Arial" w:hAnsi="Arial"/>
          <w:sz w:val="22"/>
          <w:szCs w:val="22"/>
        </w:rPr>
        <w:t xml:space="preserve">Each live course was evaluated against all five Big Ideas based on a review of its module titles, lesson topics, and described learning objectives. Ratings were assigned as follows: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7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STRONG</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Substantial content across multiple modules that directly addresses this Big Idea's core concepts at a meaningful depth.</w:t>
            </w:r>
          </w:p>
        </w:tc>
      </w:tr>
      <w:tr>
        <w:tc>
          <w:tcPr>
            <w:tcW w:type="dxa" w:w="1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relevant content, but coverage is incidental or limited in scope — not a primary learning focus of the course.</w:t>
            </w:r>
          </w:p>
        </w:tc>
      </w:tr>
      <w:tr>
        <w:tc>
          <w:tcPr>
            <w:tcW w:type="dxa" w:w="18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NONE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Little to no content addressing this Big Idea. The course does not meaningfully engage with this concept.</w:t>
            </w:r>
          </w:p>
        </w:tc>
      </w:tr>
    </w:tbl>
    <w:p>
      <w:pPr>
        <w:spacing w:after="0" w:before="120"/>
      </w:pPr>
      <w:r>
        <w:t xml:space="preserve"/>
      </w:r>
    </w:p>
    <w:p>
      <w:pPr>
        <w:spacing w:after="60" w:before="60"/>
      </w:pPr>
      <w:r>
        <w:rPr>
          <w:rFonts w:ascii="Arial" w:cs="Arial" w:eastAsia="Arial" w:hAnsi="Arial"/>
          <w:i/>
          <w:iCs/>
          <w:color w:val="555555"/>
          <w:sz w:val="22"/>
          <w:szCs w:val="22"/>
        </w:rPr>
        <w:t xml:space="preserve">Note: Aesop Academy courses are professional and adult education level, designed primarily for the 9-12 grade band and above. This evaluation assesses conceptual alignment, not grade-level appropriateness. K-12 classroom deployment would require reviewing content for age-appropriate framing.</w:t>
      </w:r>
    </w:p>
    <w:p>
      <w:r>
        <w:br w:type="page"/>
      </w:r>
    </w:p>
    <w:p>
      <w:pPr>
        <w:pStyle w:val="Heading1"/>
        <w:spacing w:after="160" w:before="320"/>
      </w:pPr>
      <w:r>
        <w:rPr>
          <w:rFonts w:ascii="Arial" w:cs="Arial" w:eastAsia="Arial" w:hAnsi="Arial"/>
          <w:b/>
          <w:bCs/>
          <w:color w:val="1E3A5F"/>
          <w:sz w:val="32"/>
          <w:szCs w:val="32"/>
        </w:rPr>
        <w:t xml:space="preserve">Overall Alignment Summary</w:t>
      </w:r>
    </w:p>
    <w:p>
      <w:pPr>
        <w:spacing w:after="60" w:before="60"/>
      </w:pPr>
      <w:r>
        <w:rPr>
          <w:rFonts w:ascii="Arial" w:cs="Arial" w:eastAsia="Arial" w:hAnsi="Arial"/>
          <w:sz w:val="22"/>
          <w:szCs w:val="22"/>
        </w:rPr>
        <w:t xml:space="preserve">The following table summarizes alignment ratings across all 23 live courses and five Big Ideas. Use this as the at-a-glance reference for strategic planning and procurement conversations.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300"/>
        <w:gridCol w:w="1300"/>
        <w:gridCol w:w="1360"/>
        <w:gridCol w:w="230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Big Idea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Name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Strong Coverage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Partial Coverage</w:t>
            </w:r>
          </w:p>
        </w:tc>
        <w:tc>
          <w:tcPr>
            <w:tcW w:type="dxa" w:w="13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Overall Rating</w:t>
            </w:r>
          </w:p>
        </w:tc>
        <w:tc>
          <w:tcPr>
            <w:tcW w:type="dxa" w:w="23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0"/>
                <w:szCs w:val="20"/>
              </w:rPr>
              <w:t xml:space="preserve">BI 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Perception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2 of 23 courses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6 of 23 courses</w:t>
            </w:r>
          </w:p>
        </w:tc>
        <w:tc>
          <w:tcPr>
            <w:tcW w:type="dxa" w:w="1360"/>
            <w:tcBorders>
              <w:top w:val="single" w:color="CCCCCC" w:sz="1"/>
              <w:left w:val="single" w:color="CCCCCC" w:sz="1"/>
              <w:bottom w:val="single" w:color="CCCCCC" w:sz="1"/>
              <w:right w:val="single" w:color="CCCCCC" w:sz="1"/>
            </w:tcBorders>
            <w:shd w:fill="C6282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WEAK</w:t>
            </w:r>
          </w:p>
        </w:tc>
        <w:tc>
          <w:tcPr>
            <w:tcW w:type="dxa" w:w="2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sz w:val="18"/>
                <w:szCs w:val="18"/>
              </w:rPr>
              <w:t xml:space="preserve">Primary gap — add dedicated content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20"/>
                <w:szCs w:val="20"/>
              </w:rPr>
              <w:t xml:space="preserve">BI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Rep. &amp; Reasoning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6 of 23 courses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8 of 23 courses</w:t>
            </w:r>
          </w:p>
        </w:tc>
        <w:tc>
          <w:tcPr>
            <w:tcW w:type="dxa" w:w="1360"/>
            <w:tcBorders>
              <w:top w:val="single" w:color="CCCCCC" w:sz="1"/>
              <w:left w:val="single" w:color="CCCCCC" w:sz="1"/>
              <w:bottom w:val="single" w:color="CCCCCC" w:sz="1"/>
              <w:right w:val="single" w:color="CCCCCC" w:sz="1"/>
            </w:tcBorders>
            <w:shd w:fill="E651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MODERATE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8"/>
                <w:szCs w:val="18"/>
              </w:rPr>
              <w:t xml:space="preserve">Covered in technical/agent courses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0"/>
                <w:szCs w:val="20"/>
              </w:rPr>
              <w:t xml:space="preserve">BI 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Learning</w:t>
            </w:r>
          </w:p>
        </w:tc>
        <w:tc>
          <w:tcPr>
            <w:tcW w:type="dxa" w:w="1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6 of 23 courses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10 of 23 courses</w:t>
            </w:r>
          </w:p>
        </w:tc>
        <w:tc>
          <w:tcPr>
            <w:tcW w:type="dxa" w:w="136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STRONG</w:t>
            </w:r>
          </w:p>
        </w:tc>
        <w:tc>
          <w:tcPr>
            <w:tcW w:type="dxa" w:w="2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sz w:val="18"/>
                <w:szCs w:val="18"/>
              </w:rPr>
              <w:t xml:space="preserve">Strong in technical &amp; application courses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20"/>
                <w:szCs w:val="20"/>
              </w:rPr>
              <w:t xml:space="preserve">BI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Natural Interaction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5 of 23 courses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12 of 23 courses</w:t>
            </w:r>
          </w:p>
        </w:tc>
        <w:tc>
          <w:tcPr>
            <w:tcW w:type="dxa" w:w="136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STRONG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8"/>
                <w:szCs w:val="18"/>
              </w:rPr>
              <w:t xml:space="preserve">Strong in NLP, agent, and UX courses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0"/>
                <w:szCs w:val="20"/>
              </w:rPr>
              <w:t xml:space="preserve">BI 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Societal Impact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7 of 23 courses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12 of 23 courses</w:t>
            </w:r>
          </w:p>
        </w:tc>
        <w:tc>
          <w:tcPr>
            <w:tcW w:type="dxa" w:w="136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EXCEPTIONAL</w:t>
            </w:r>
          </w:p>
        </w:tc>
        <w:tc>
          <w:tcPr>
            <w:tcW w:type="dxa" w:w="2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sz w:val="18"/>
                <w:szCs w:val="18"/>
              </w:rPr>
              <w:t xml:space="preserve">Primary strength — nearly all courses</w:t>
            </w:r>
          </w:p>
        </w:tc>
      </w:tr>
    </w:tbl>
    <w:p>
      <w:pPr>
        <w:spacing w:after="0" w:before="16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Key Findings</w:t>
      </w:r>
    </w:p>
    <w:p>
      <w:pPr>
        <w:pStyle w:val="Heading3"/>
        <w:spacing w:after="80" w:before="200"/>
      </w:pPr>
      <w:r>
        <w:rPr>
          <w:rFonts w:ascii="Arial" w:cs="Arial" w:eastAsia="Arial" w:hAnsi="Arial"/>
          <w:b/>
          <w:bCs/>
          <w:color w:val="1E3A5F"/>
          <w:sz w:val="24"/>
          <w:szCs w:val="24"/>
        </w:rPr>
        <w:t xml:space="preserve">Exceptional Strength: Big Idea 5 — Societal Impact</w:t>
      </w:r>
    </w:p>
    <w:p>
      <w:pPr>
        <w:spacing w:after="60" w:before="60"/>
      </w:pPr>
      <w:r>
        <w:rPr>
          <w:rFonts w:ascii="Arial" w:cs="Arial" w:eastAsia="Arial" w:hAnsi="Arial"/>
          <w:sz w:val="22"/>
          <w:szCs w:val="22"/>
        </w:rPr>
        <w:t xml:space="preserve">7 of 23 courses show STRONG coverage of Societal Impact, and 12 show PARTIAL coverage. This is Aesop Academy's most significant alignment asset. Governance, ethics, society, risk, healthcare equity, education equity, marketing ethics, and the future of work all address AI's impact on individuals and society at substantial depth. This is the most credible alignment claim for K-12 district procurement.</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Strong Coverage: Big Ideas 3 &amp; 4 — Learning and Natural Interaction</w:t>
      </w:r>
    </w:p>
    <w:p>
      <w:pPr>
        <w:spacing w:after="60" w:before="60"/>
      </w:pPr>
      <w:r>
        <w:rPr>
          <w:rFonts w:ascii="Arial" w:cs="Arial" w:eastAsia="Arial" w:hAnsi="Arial"/>
          <w:sz w:val="22"/>
          <w:szCs w:val="22"/>
        </w:rPr>
        <w:t xml:space="preserve">Learning (BI 3) is covered strongly in 6 courses and partially in 10 more. The technical courses — GPT vs. Claude vs. Gemini, RAG Systems, Agent series, AI in Healthcare, and Photography — provide substantive treatment of machine learning concepts, training data, model architecture, and bias. Natural Interaction (BI 4) is similarly well served, particularly through the Building with AI, Prompt Engineering, GPT comparison, and Psychology courses.</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Moderate Coverage: Big Idea 2 — Representation &amp; Reasoning</w:t>
      </w:r>
    </w:p>
    <w:p>
      <w:pPr>
        <w:spacing w:after="60" w:before="60"/>
      </w:pPr>
      <w:r>
        <w:rPr>
          <w:rFonts w:ascii="Arial" w:cs="Arial" w:eastAsia="Arial" w:hAnsi="Arial"/>
          <w:sz w:val="22"/>
          <w:szCs w:val="22"/>
        </w:rPr>
        <w:t xml:space="preserve">6 courses cover Representation &amp; Reasoning strongly, primarily the AI in Game Design (state machines, behavior trees, planning algorithms), the Agent series (reasoning architectures, knowledge graphs, planning), and GPT vs. Claude vs. Gemini (transformer architecture, attention). This is adequate but unevenly distributed — it lives in the technical tracks and is absent from professional and leadership courses.</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Primary Gap: Big Idea 1 — Perception</w:t>
      </w:r>
    </w:p>
    <w:p>
      <w:pPr>
        <w:spacing w:after="60" w:before="60"/>
      </w:pPr>
      <w:r>
        <w:rPr>
          <w:rFonts w:ascii="Arial" w:cs="Arial" w:eastAsia="Arial" w:hAnsi="Arial"/>
          <w:sz w:val="22"/>
          <w:szCs w:val="22"/>
        </w:rPr>
        <w:t xml:space="preserve">Only 2 courses — AI in Healthcare and Photography and AI — provide strong coverage of how AI perceives the world through sensors and data collection. 6 additional courses touch on it partially (AI in Society covers facial recognition; Game Design covers agent perception; AI in Society covers surveillance). This is the most significant gap in the catalog. The perceptual layer — how AI systems interpret raw sensory input — is foundational to the AI4K12 framework and largely absent from Aesop's curriculum.</w:t>
      </w:r>
    </w:p>
    <w:p>
      <w:r>
        <w:br w:type="page"/>
      </w:r>
    </w:p>
    <w:p>
      <w:pPr>
        <w:pStyle w:val="Heading1"/>
        <w:spacing w:after="160" w:before="320"/>
      </w:pPr>
      <w:r>
        <w:rPr>
          <w:rFonts w:ascii="Arial" w:cs="Arial" w:eastAsia="Arial" w:hAnsi="Arial"/>
          <w:b/>
          <w:bCs/>
          <w:color w:val="1E3A5F"/>
          <w:sz w:val="32"/>
          <w:szCs w:val="32"/>
        </w:rPr>
        <w:t xml:space="preserve">Full Course Alignment Matrix</w:t>
      </w:r>
    </w:p>
    <w:p>
      <w:pPr>
        <w:spacing w:after="60" w:before="60"/>
      </w:pPr>
      <w:r>
        <w:rPr>
          <w:rFonts w:ascii="Arial" w:cs="Arial" w:eastAsia="Arial" w:hAnsi="Arial"/>
          <w:sz w:val="22"/>
          <w:szCs w:val="22"/>
        </w:rPr>
        <w:t xml:space="preserve">The matrix below shows every live course rated across all five Big Ideas. Color coding: STRONG (green), PARTIAL (amber), NONE (gray).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60"/>
        <w:gridCol w:w="1360"/>
        <w:gridCol w:w="1360"/>
        <w:gridCol w:w="1360"/>
        <w:gridCol w:w="1360"/>
      </w:tblGrid>
      <w:tr>
        <w:trPr>
          <w:tblHeader/>
        </w:trPr>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Course</w:t>
            </w:r>
          </w:p>
        </w:tc>
        <w:tc>
          <w:tcPr>
            <w:tcW w:type="dxa" w:w="13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BI 1
Perception</w:t>
            </w:r>
          </w:p>
        </w:tc>
        <w:tc>
          <w:tcPr>
            <w:tcW w:type="dxa" w:w="13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BI 2
Rep. &amp; Reason.</w:t>
            </w:r>
          </w:p>
        </w:tc>
        <w:tc>
          <w:tcPr>
            <w:tcW w:type="dxa" w:w="13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BI 3
Learning</w:t>
            </w:r>
          </w:p>
        </w:tc>
        <w:tc>
          <w:tcPr>
            <w:tcW w:type="dxa" w:w="13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BI 4
Nat. Interaction</w:t>
            </w:r>
          </w:p>
        </w:tc>
        <w:tc>
          <w:tcPr>
            <w:tcW w:type="dxa" w:w="13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BI 5
Societal Impact</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Governance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in Society</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Ethics &amp; Decision-Making</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with AI</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in Healthcare</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&amp; Education</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Psychology &amp; Behavior</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Leadership</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GPT vs. Claude vs. Gemini</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in Game Design I</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Photography and AI</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Tools for Solo Founders</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for Marketing and Growth</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Risk for Business Leaders</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Building an AI-First Business</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for Small Business Managers</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Building AI Agents I</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AI Agents II</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Building AI Agents III</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AI Agents IV (OpenClaw)</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Building AI Agents V</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Engineering for Developers</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RAG Systems from Scratch</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w:t>
            </w:r>
          </w:p>
        </w:tc>
        <w:tc>
          <w:tcPr>
            <w:tcW w:type="dxa" w:w="1400"/>
            <w:tcBorders>
              <w:top w:val="single" w:color="CCCCCC" w:sz="1"/>
              <w:left w:val="single" w:color="CCCCCC" w:sz="1"/>
              <w:bottom w:val="single" w:color="CCCCCC" w:sz="1"/>
              <w:right w:val="single" w:color="CCCCCC"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NONE</w:t>
            </w:r>
          </w:p>
        </w:tc>
      </w:tr>
    </w:tbl>
    <w:p>
      <w:r>
        <w:br w:type="page"/>
      </w:r>
    </w:p>
    <w:p>
      <w:pPr>
        <w:pStyle w:val="Heading1"/>
        <w:spacing w:after="160" w:before="320"/>
      </w:pPr>
      <w:r>
        <w:rPr>
          <w:rFonts w:ascii="Arial" w:cs="Arial" w:eastAsia="Arial" w:hAnsi="Arial"/>
          <w:b/>
          <w:bCs/>
          <w:color w:val="1E3A5F"/>
          <w:sz w:val="32"/>
          <w:szCs w:val="32"/>
        </w:rPr>
        <w:t xml:space="preserve">Course-by-Course Analysis</w:t>
      </w:r>
    </w:p>
    <w:p>
      <w:pPr>
        <w:spacing w:after="60" w:before="60"/>
      </w:pPr>
      <w:r>
        <w:rPr>
          <w:rFonts w:ascii="Arial" w:cs="Arial" w:eastAsia="Arial" w:hAnsi="Arial"/>
          <w:sz w:val="22"/>
          <w:szCs w:val="22"/>
        </w:rPr>
        <w:t xml:space="preserve">The following section provides a brief rationale for each course's ratings across the five Big Ideas.</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AI Governance</w:t>
      </w:r>
    </w:p>
    <w:p>
      <w:pPr>
        <w:spacing w:after="60" w:before="60"/>
      </w:pPr>
      <w:r>
        <w:rPr>
          <w:rFonts w:ascii="Arial" w:cs="Arial" w:eastAsia="Arial" w:hAnsi="Arial"/>
          <w:sz w:val="22"/>
          <w:szCs w:val="22"/>
        </w:rPr>
        <w:t xml:space="preserve">Exceptional depth on Societal Impact — EU AI Act, US policy, corporate accountability, audit frameworks. Touches Learning and Natural Interaction incidentally (AI systems are discussed as regulated objects). Does not address Perception, Representation &amp; Reasoning, or the technical mechanics of AI.</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AI in Society</w:t>
      </w:r>
    </w:p>
    <w:p>
      <w:pPr>
        <w:spacing w:after="60" w:before="60"/>
      </w:pPr>
      <w:r>
        <w:rPr>
          <w:rFonts w:ascii="Arial" w:cs="Arial" w:eastAsia="Arial" w:hAnsi="Arial"/>
          <w:sz w:val="22"/>
          <w:szCs w:val="22"/>
        </w:rPr>
        <w:t xml:space="preserve">Strong Societal Impact anchor. Touches Perception through facial recognition and biometric surveillance modules. Addresses Natural Interaction through disinformation and social AI modules. Learning appears incidentally through algorithmic bias discussions.</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AI Ethics &amp; Decision-Making</w:t>
      </w:r>
    </w:p>
    <w:p>
      <w:pPr>
        <w:spacing w:after="60" w:before="60"/>
      </w:pPr>
      <w:r>
        <w:rPr>
          <w:rFonts w:ascii="Arial" w:cs="Arial" w:eastAsia="Arial" w:hAnsi="Arial"/>
          <w:sz w:val="22"/>
          <w:szCs w:val="22"/>
        </w:rPr>
        <w:t xml:space="preserve">Strong Societal Impact through applied ethics in healthcare, criminal justice, autonomous systems, and global governance. Partial Representation &amp; Reasoning through algorithmic decision-making framing. Partial Learning through bias and fairness analysis.</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Building with AI</w:t>
      </w:r>
    </w:p>
    <w:p>
      <w:pPr>
        <w:spacing w:after="60" w:before="60"/>
      </w:pPr>
      <w:r>
        <w:rPr>
          <w:rFonts w:ascii="Arial" w:cs="Arial" w:eastAsia="Arial" w:hAnsi="Arial"/>
          <w:sz w:val="22"/>
          <w:szCs w:val="22"/>
        </w:rPr>
        <w:t xml:space="preserve">Strong Natural Interaction — prompt engineering, API integration, and product design for human-AI systems are core. Partial coverage across Perception (AI tool capabilities), Representation &amp; Reasoning (system design), and Learning (evaluating AI output). Partial Societal Impact through responsible building module.</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AI in Healthcare</w:t>
      </w:r>
    </w:p>
    <w:p>
      <w:pPr>
        <w:spacing w:after="60" w:before="60"/>
      </w:pPr>
      <w:r>
        <w:rPr>
          <w:rFonts w:ascii="Arial" w:cs="Arial" w:eastAsia="Arial" w:hAnsi="Arial"/>
          <w:sz w:val="22"/>
          <w:szCs w:val="22"/>
        </w:rPr>
        <w:t xml:space="preserve">One of the most technically complete courses. Strong Perception (medical imaging, pattern recognition), strong Learning (drug discovery ML models, clinical AI), strong Societal Impact (equity, HIPAA, FDA regulation). Partial Representation &amp; Reasoning (clinical decision support) and Natural Interaction (therapy AI companions).</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AI &amp; Education</w:t>
      </w:r>
    </w:p>
    <w:p>
      <w:pPr>
        <w:spacing w:after="60" w:before="60"/>
      </w:pPr>
      <w:r>
        <w:rPr>
          <w:rFonts w:ascii="Arial" w:cs="Arial" w:eastAsia="Arial" w:hAnsi="Arial"/>
          <w:sz w:val="22"/>
          <w:szCs w:val="22"/>
        </w:rPr>
        <w:t xml:space="preserve">Strong Societal Impact (achievement gap, credential futures, academic integrity). Partial Learning (personalized/adaptive learning systems) and Natural Interaction (AI classroom tools). Does not address Perception or Representation &amp; Reasoning.</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AI Psychology &amp; Behavior</w:t>
      </w:r>
    </w:p>
    <w:p>
      <w:pPr>
        <w:spacing w:after="60" w:before="60"/>
      </w:pPr>
      <w:r>
        <w:rPr>
          <w:rFonts w:ascii="Arial" w:cs="Arial" w:eastAsia="Arial" w:hAnsi="Arial"/>
          <w:sz w:val="22"/>
          <w:szCs w:val="22"/>
        </w:rPr>
        <w:t xml:space="preserve">Strong Natural Interaction — the deepest treatment of how AI shapes human behavior, trust, anthropomorphism, and emotional response in the catalog. Strong Societal Impact (wellbeing, addiction, identity). Partial Learning through discussion of how AI learns behavioral patterns.</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AI Leadership</w:t>
      </w:r>
    </w:p>
    <w:p>
      <w:pPr>
        <w:spacing w:after="60" w:before="60"/>
      </w:pPr>
      <w:r>
        <w:rPr>
          <w:rFonts w:ascii="Arial" w:cs="Arial" w:eastAsia="Arial" w:hAnsi="Arial"/>
          <w:sz w:val="22"/>
          <w:szCs w:val="22"/>
        </w:rPr>
        <w:t xml:space="preserve">Primarily a business strategy course. Partial Societal Impact through risk and governance modules. Does not substantively address the technical Big Ideas. Best suited for executives who need AI literacy context, not foundational AI understanding.</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GPT vs. Claude vs. Gemini</w:t>
      </w:r>
    </w:p>
    <w:p>
      <w:pPr>
        <w:spacing w:after="60" w:before="60"/>
      </w:pPr>
      <w:r>
        <w:rPr>
          <w:rFonts w:ascii="Arial" w:cs="Arial" w:eastAsia="Arial" w:hAnsi="Arial"/>
          <w:sz w:val="22"/>
          <w:szCs w:val="22"/>
        </w:rPr>
        <w:t xml:space="preserve">Strong Representation &amp; Reasoning (transformer architecture, attention mechanisms, reasoning models), strong Learning (pre-training, RLHF, Constitutional AI), strong Natural Interaction (NLP architecture, multimodality, conversational AI design). One of the strongest technical courses in the catalog for BI alignment.</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AI in Game Design I</w:t>
      </w:r>
    </w:p>
    <w:p>
      <w:pPr>
        <w:spacing w:after="60" w:before="60"/>
      </w:pPr>
      <w:r>
        <w:rPr>
          <w:rFonts w:ascii="Arial" w:cs="Arial" w:eastAsia="Arial" w:hAnsi="Arial"/>
          <w:sz w:val="22"/>
          <w:szCs w:val="22"/>
        </w:rPr>
        <w:t xml:space="preserve">Strong Representation &amp; Reasoning — finite state machines, behavior trees, utility AI, and pathfinding are the technical core of game AI. Strong Natural Interaction through NPC dialogue systems and LLM-based character design. Partial Perception (agent environmental perception) and Learning (procedural generation, player modeling).</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Photography and AI</w:t>
      </w:r>
    </w:p>
    <w:p>
      <w:pPr>
        <w:spacing w:after="60" w:before="60"/>
      </w:pPr>
      <w:r>
        <w:rPr>
          <w:rFonts w:ascii="Arial" w:cs="Arial" w:eastAsia="Arial" w:hAnsi="Arial"/>
          <w:sz w:val="22"/>
          <w:szCs w:val="22"/>
        </w:rPr>
        <w:t xml:space="preserve">Strongest Perception coverage in the catalog — computational photography, autofocus AI, scene understanding, and super-resolution directly address how AI perceives and interprets visual sensory data. Strong Learning (diffusion models, upscaling architectures, style transfer). Partial Representation &amp; Reasoning and Societal Impact (deepfakes, consent, bias).</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AI Tools for Solo Founders / AI for Small Business Managers / AI Leadership / AI Risk for Business Leaders</w:t>
      </w:r>
    </w:p>
    <w:p>
      <w:pPr>
        <w:spacing w:after="60" w:before="60"/>
      </w:pPr>
      <w:r>
        <w:rPr>
          <w:rFonts w:ascii="Arial" w:cs="Arial" w:eastAsia="Arial" w:hAnsi="Arial"/>
          <w:sz w:val="22"/>
          <w:szCs w:val="22"/>
        </w:rPr>
        <w:t xml:space="preserve">These four courses form a cluster of business-focused offerings. Societal Impact is touched (compliance, risk, ethics) but not deeply. Technical Big Ideas are largely absent — these courses treat AI as a tool to use or manage, not a system to understand. For K-12 alignment purposes, they are best positioned as applied Societal Impact content.</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Building AI Agents Series (I–V)</w:t>
      </w:r>
    </w:p>
    <w:p>
      <w:pPr>
        <w:spacing w:after="60" w:before="60"/>
      </w:pPr>
      <w:r>
        <w:rPr>
          <w:rFonts w:ascii="Arial" w:cs="Arial" w:eastAsia="Arial" w:hAnsi="Arial"/>
          <w:sz w:val="22"/>
          <w:szCs w:val="22"/>
        </w:rPr>
        <w:t xml:space="preserve">The five-course agent series provides the strongest Representation &amp; Reasoning coverage in the catalog — agent architectures, planning algorithms, knowledge graphs, orchestration, and memory systems. Agent II also provides strong Learning coverage through vector databases, embeddings, and RAG. The series is highly technical and maps most naturally to the 9-12 grade band's computational thinking objectives.</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Prompt Engineering for Developers</w:t>
      </w:r>
    </w:p>
    <w:p>
      <w:pPr>
        <w:spacing w:after="60" w:before="60"/>
      </w:pPr>
      <w:r>
        <w:rPr>
          <w:rFonts w:ascii="Arial" w:cs="Arial" w:eastAsia="Arial" w:hAnsi="Arial"/>
          <w:sz w:val="22"/>
          <w:szCs w:val="22"/>
        </w:rPr>
        <w:t xml:space="preserve">Strong Natural Interaction — system prompt design, few-shot learning, chain-of-thought, and structured output are fundamentally about the interface between human language and AI systems. Partial Representation &amp; Reasoning (how LLMs process tokens and context) and Learning (prompt as a form of model conditioning).</w:t>
      </w:r>
    </w:p>
    <w:p>
      <w:pPr>
        <w:spacing w:after="0" w:before="120"/>
      </w:pPr>
      <w:r>
        <w:t xml:space="preserve"/>
      </w:r>
    </w:p>
    <w:p>
      <w:pPr>
        <w:pStyle w:val="Heading3"/>
        <w:spacing w:after="80" w:before="200"/>
      </w:pPr>
      <w:r>
        <w:rPr>
          <w:rFonts w:ascii="Arial" w:cs="Arial" w:eastAsia="Arial" w:hAnsi="Arial"/>
          <w:b/>
          <w:bCs/>
          <w:color w:val="1E3A5F"/>
          <w:sz w:val="24"/>
          <w:szCs w:val="24"/>
        </w:rPr>
        <w:t xml:space="preserve">RAG Systems from Scratch</w:t>
      </w:r>
    </w:p>
    <w:p>
      <w:pPr>
        <w:spacing w:after="60" w:before="60"/>
      </w:pPr>
      <w:r>
        <w:rPr>
          <w:rFonts w:ascii="Arial" w:cs="Arial" w:eastAsia="Arial" w:hAnsi="Arial"/>
          <w:sz w:val="22"/>
          <w:szCs w:val="22"/>
        </w:rPr>
        <w:t xml:space="preserve">Strong Representation &amp; Reasoning (embeddings, vector databases, knowledge retrieval, hybrid search) and strong Learning (embedding models, ML architecture, fine-tuning vs. retrieval trade-offs). Partial Natural Interaction through retrieval-augmented generation for language. Highly technical — a 9-12 or post-secondary course.</w:t>
      </w:r>
    </w:p>
    <w:p>
      <w:r>
        <w:br w:type="page"/>
      </w:r>
    </w:p>
    <w:p>
      <w:pPr>
        <w:pStyle w:val="Heading1"/>
        <w:spacing w:after="160" w:before="320"/>
      </w:pPr>
      <w:r>
        <w:rPr>
          <w:rFonts w:ascii="Arial" w:cs="Arial" w:eastAsia="Arial" w:hAnsi="Arial"/>
          <w:b/>
          <w:bCs/>
          <w:color w:val="1E3A5F"/>
          <w:sz w:val="32"/>
          <w:szCs w:val="32"/>
        </w:rPr>
        <w:t xml:space="preserve">Gap Analysis &amp; Recommendations</w:t>
      </w:r>
    </w:p>
    <w:p>
      <w:pPr>
        <w:pStyle w:val="Heading2"/>
        <w:pBdr>
          <w:bottom w:val="single" w:color="2E75B6" w:sz="4" w:space="1"/>
        </w:pBdr>
        <w:spacing w:after="120" w:before="240"/>
      </w:pPr>
      <w:r>
        <w:rPr>
          <w:rFonts w:ascii="Arial" w:cs="Arial" w:eastAsia="Arial" w:hAnsi="Arial"/>
          <w:b/>
          <w:bCs/>
          <w:color w:val="2E75B6"/>
          <w:sz w:val="26"/>
          <w:szCs w:val="26"/>
        </w:rPr>
        <w:t xml:space="preserve">Critical Gap: Big Idea 1 — Perception</w:t>
      </w:r>
    </w:p>
    <w:p>
      <w:pPr>
        <w:spacing w:after="60" w:before="60"/>
      </w:pPr>
      <w:r>
        <w:rPr>
          <w:rFonts w:ascii="Arial" w:cs="Arial" w:eastAsia="Arial" w:hAnsi="Arial"/>
          <w:sz w:val="22"/>
          <w:szCs w:val="22"/>
        </w:rPr>
        <w:t xml:space="preserve">The absence of dedicated Perception content is the most significant alignment gap. AI4K12's Perception framework expects students to understand:</w:t>
      </w:r>
    </w:p>
    <w:p>
      <w:pPr>
        <w:pStyle w:val="ListParagraph"/>
        <w:numPr>
          <w:ilvl w:val="0"/>
          <w:numId w:val="2"/>
        </w:numPr>
        <w:spacing w:after="40" w:before="40"/>
      </w:pPr>
      <w:r>
        <w:rPr>
          <w:rFonts w:ascii="Arial" w:cs="Arial" w:eastAsia="Arial" w:hAnsi="Arial"/>
          <w:sz w:val="22"/>
          <w:szCs w:val="22"/>
        </w:rPr>
        <w:t xml:space="preserve">How computers sense the world (cameras, microphones, depth sensors, GPS)</w:t>
      </w:r>
    </w:p>
    <w:p>
      <w:pPr>
        <w:pStyle w:val="ListParagraph"/>
        <w:numPr>
          <w:ilvl w:val="0"/>
          <w:numId w:val="2"/>
        </w:numPr>
        <w:spacing w:after="40" w:before="40"/>
      </w:pPr>
      <w:r>
        <w:rPr>
          <w:rFonts w:ascii="Arial" w:cs="Arial" w:eastAsia="Arial" w:hAnsi="Arial"/>
          <w:sz w:val="22"/>
          <w:szCs w:val="22"/>
        </w:rPr>
        <w:t xml:space="preserve">Computer vision: image classification, object detection, facial recognition</w:t>
      </w:r>
    </w:p>
    <w:p>
      <w:pPr>
        <w:pStyle w:val="ListParagraph"/>
        <w:numPr>
          <w:ilvl w:val="0"/>
          <w:numId w:val="2"/>
        </w:numPr>
        <w:spacing w:after="40" w:before="40"/>
      </w:pPr>
      <w:r>
        <w:rPr>
          <w:rFonts w:ascii="Arial" w:cs="Arial" w:eastAsia="Arial" w:hAnsi="Arial"/>
          <w:sz w:val="22"/>
          <w:szCs w:val="22"/>
        </w:rPr>
        <w:t xml:space="preserve">Speech and audio recognition: how machines process sound</w:t>
      </w:r>
    </w:p>
    <w:p>
      <w:pPr>
        <w:pStyle w:val="ListParagraph"/>
        <w:numPr>
          <w:ilvl w:val="0"/>
          <w:numId w:val="2"/>
        </w:numPr>
        <w:spacing w:after="40" w:before="40"/>
      </w:pPr>
      <w:r>
        <w:rPr>
          <w:rFonts w:ascii="Arial" w:cs="Arial" w:eastAsia="Arial" w:hAnsi="Arial"/>
          <w:sz w:val="22"/>
          <w:szCs w:val="22"/>
        </w:rPr>
        <w:t xml:space="preserve">The limitations of AI perception: edge cases, lighting conditions, accent bias</w:t>
      </w:r>
    </w:p>
    <w:p>
      <w:pPr>
        <w:pStyle w:val="ListParagraph"/>
        <w:numPr>
          <w:ilvl w:val="0"/>
          <w:numId w:val="2"/>
        </w:numPr>
        <w:spacing w:after="40" w:before="40"/>
      </w:pPr>
      <w:r>
        <w:rPr>
          <w:rFonts w:ascii="Arial" w:cs="Arial" w:eastAsia="Arial" w:hAnsi="Arial"/>
          <w:sz w:val="22"/>
          <w:szCs w:val="22"/>
        </w:rPr>
        <w:t xml:space="preserve">How training data for perception systems is collected and labeled</w:t>
      </w:r>
    </w:p>
    <w:p>
      <w:pPr>
        <w:pStyle w:val="ListParagraph"/>
        <w:numPr>
          <w:ilvl w:val="0"/>
          <w:numId w:val="2"/>
        </w:numPr>
        <w:spacing w:after="40" w:before="40"/>
      </w:pPr>
      <w:r>
        <w:rPr>
          <w:rFonts w:ascii="Arial" w:cs="Arial" w:eastAsia="Arial" w:hAnsi="Arial"/>
          <w:sz w:val="22"/>
          <w:szCs w:val="22"/>
        </w:rPr>
        <w:t xml:space="preserve">Privacy and ethical implications of perceptual AI in public spaces</w:t>
      </w:r>
    </w:p>
    <w:p>
      <w:pPr>
        <w:spacing w:after="0" w:before="120"/>
      </w:pPr>
      <w:r>
        <w:t xml:space="preserve"/>
      </w:r>
    </w:p>
    <w:p>
      <w:pPr>
        <w:spacing w:after="60" w:before="60"/>
      </w:pPr>
      <w:r>
        <w:rPr>
          <w:rFonts w:ascii="Arial" w:cs="Arial" w:eastAsia="Arial" w:hAnsi="Arial"/>
          <w:sz w:val="22"/>
          <w:szCs w:val="22"/>
        </w:rPr>
        <w:t xml:space="preserve">Recommended actions:</w:t>
      </w:r>
    </w:p>
    <w:p>
      <w:pPr>
        <w:pStyle w:val="ListParagraph"/>
        <w:numPr>
          <w:ilvl w:val="0"/>
          <w:numId w:val="2"/>
        </w:numPr>
        <w:spacing w:after="40" w:before="40"/>
      </w:pPr>
      <w:r>
        <w:rPr>
          <w:rFonts w:ascii="Arial" w:cs="Arial" w:eastAsia="Arial" w:hAnsi="Arial"/>
          <w:b/>
          <w:bCs/>
          <w:sz w:val="22"/>
          <w:szCs w:val="22"/>
        </w:rPr>
        <w:t xml:space="preserve">Short-term: </w:t>
      </w:r>
      <w:r>
        <w:rPr>
          <w:rFonts w:ascii="Arial" w:cs="Arial" w:eastAsia="Arial" w:hAnsi="Arial"/>
          <w:sz w:val="22"/>
          <w:szCs w:val="22"/>
        </w:rPr>
        <w:t xml:space="preserve">Expand Photography and AI to explicitly frame computational photography as a Perception course and add a standalone 'How AI Sees and Hears' module</w:t>
      </w:r>
    </w:p>
    <w:p>
      <w:pPr>
        <w:pStyle w:val="ListParagraph"/>
        <w:numPr>
          <w:ilvl w:val="0"/>
          <w:numId w:val="2"/>
        </w:numPr>
        <w:spacing w:after="40" w:before="40"/>
      </w:pPr>
      <w:r>
        <w:rPr>
          <w:rFonts w:ascii="Arial" w:cs="Arial" w:eastAsia="Arial" w:hAnsi="Arial"/>
          <w:b/>
          <w:bCs/>
          <w:sz w:val="22"/>
          <w:szCs w:val="22"/>
        </w:rPr>
        <w:t xml:space="preserve">Medium-term: </w:t>
      </w:r>
      <w:r>
        <w:rPr>
          <w:rFonts w:ascii="Arial" w:cs="Arial" w:eastAsia="Arial" w:hAnsi="Arial"/>
          <w:sz w:val="22"/>
          <w:szCs w:val="22"/>
        </w:rPr>
        <w:t xml:space="preserve">Develop a dedicated 'AI Perception' course covering computer vision, speech recognition, sensor fusion, and the data labeling pipeline</w:t>
      </w:r>
    </w:p>
    <w:p>
      <w:pPr>
        <w:pStyle w:val="ListParagraph"/>
        <w:numPr>
          <w:ilvl w:val="0"/>
          <w:numId w:val="2"/>
        </w:numPr>
        <w:spacing w:after="40" w:before="40"/>
      </w:pPr>
      <w:r>
        <w:rPr>
          <w:rFonts w:ascii="Arial" w:cs="Arial" w:eastAsia="Arial" w:hAnsi="Arial"/>
          <w:b/>
          <w:bCs/>
          <w:sz w:val="22"/>
          <w:szCs w:val="22"/>
        </w:rPr>
        <w:t xml:space="preserve">Quick win: </w:t>
      </w:r>
      <w:r>
        <w:rPr>
          <w:rFonts w:ascii="Arial" w:cs="Arial" w:eastAsia="Arial" w:hAnsi="Arial"/>
          <w:sz w:val="22"/>
          <w:szCs w:val="22"/>
        </w:rPr>
        <w:t xml:space="preserve">Add a Perception-focused module to AI in Society covering how surveillance AI perceives and classifies people</w:t>
      </w:r>
    </w:p>
    <w:p>
      <w:pPr>
        <w:spacing w:after="0" w:before="12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Opportunity: Strengthen BI 2 Across Non-Technical Courses</w:t>
      </w:r>
    </w:p>
    <w:p>
      <w:pPr>
        <w:spacing w:after="60" w:before="60"/>
      </w:pPr>
      <w:r>
        <w:rPr>
          <w:rFonts w:ascii="Arial" w:cs="Arial" w:eastAsia="Arial" w:hAnsi="Arial"/>
          <w:sz w:val="22"/>
          <w:szCs w:val="22"/>
        </w:rPr>
        <w:t xml:space="preserve">Representation &amp; Reasoning is currently confined to the technical tracks (Game Design, Agent series, RAG Systems). Business and professional courses treat AI as a black box. Adding short conceptual modules — 'How Does AI Actually Decide?' — to AI Governance, AI Leadership, and the small business/founder courses would broaden BI 2 coverage without requiring deep technical content.</w:t>
      </w:r>
    </w:p>
    <w:p>
      <w:pPr>
        <w:spacing w:after="0" w:before="12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Strategic Asset: Societal Impact Depth</w:t>
      </w:r>
    </w:p>
    <w:p>
      <w:pPr>
        <w:spacing w:after="60" w:before="60"/>
      </w:pPr>
      <w:r>
        <w:rPr>
          <w:rFonts w:ascii="Arial" w:cs="Arial" w:eastAsia="Arial" w:hAnsi="Arial"/>
          <w:sz w:val="22"/>
          <w:szCs w:val="22"/>
        </w:rPr>
        <w:t xml:space="preserve">Aesop Academy's coverage of Societal Impact is genuinely exceptional and exceeds what most K-12 AI curricula provide. This should be the primary alignment claim in district procurement conversations, accreditation documentation, and marketing materials. The breadth across governance, ethics, equity, psychology, healthcare, education, labor, and environment is a competitive differentiator that few curricula match.</w:t>
      </w:r>
    </w:p>
    <w:p>
      <w:pPr>
        <w:spacing w:after="0" w:before="12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Grade Band Positioning</w:t>
      </w:r>
    </w:p>
    <w:p>
      <w:pPr>
        <w:spacing w:after="60" w:before="60"/>
      </w:pPr>
      <w:r>
        <w:rPr>
          <w:rFonts w:ascii="Arial" w:cs="Arial" w:eastAsia="Arial" w:hAnsi="Arial"/>
          <w:sz w:val="22"/>
          <w:szCs w:val="22"/>
        </w:rPr>
        <w:t xml:space="preserve">All Aesop courses are designed at professional/adult education level. For K-12 deployment, particularly at the 6-8 and 9-12 grade bands, the following courses are most appropriate without significant modification:</w:t>
      </w:r>
    </w:p>
    <w:p>
      <w:pPr>
        <w:pStyle w:val="ListParagraph"/>
        <w:numPr>
          <w:ilvl w:val="0"/>
          <w:numId w:val="2"/>
        </w:numPr>
        <w:spacing w:after="40" w:before="40"/>
      </w:pPr>
      <w:r>
        <w:rPr>
          <w:rFonts w:ascii="Arial" w:cs="Arial" w:eastAsia="Arial" w:hAnsi="Arial"/>
          <w:sz w:val="22"/>
          <w:szCs w:val="22"/>
        </w:rPr>
        <w:t xml:space="preserve">AI in Game Design I — strong engagement hook, foundational technical concepts</w:t>
      </w:r>
    </w:p>
    <w:p>
      <w:pPr>
        <w:pStyle w:val="ListParagraph"/>
        <w:numPr>
          <w:ilvl w:val="0"/>
          <w:numId w:val="2"/>
        </w:numPr>
        <w:spacing w:after="40" w:before="40"/>
      </w:pPr>
      <w:r>
        <w:rPr>
          <w:rFonts w:ascii="Arial" w:cs="Arial" w:eastAsia="Arial" w:hAnsi="Arial"/>
          <w:sz w:val="22"/>
          <w:szCs w:val="22"/>
        </w:rPr>
        <w:t xml:space="preserve">Photography and AI — visual and accessible, strong Perception coverage</w:t>
      </w:r>
    </w:p>
    <w:p>
      <w:pPr>
        <w:pStyle w:val="ListParagraph"/>
        <w:numPr>
          <w:ilvl w:val="0"/>
          <w:numId w:val="2"/>
        </w:numPr>
        <w:spacing w:after="40" w:before="40"/>
      </w:pPr>
      <w:r>
        <w:rPr>
          <w:rFonts w:ascii="Arial" w:cs="Arial" w:eastAsia="Arial" w:hAnsi="Arial"/>
          <w:sz w:val="22"/>
          <w:szCs w:val="22"/>
        </w:rPr>
        <w:t xml:space="preserve">AI in Society — directly addresses K-12 AI literacy and civic AI themes</w:t>
      </w:r>
    </w:p>
    <w:p>
      <w:pPr>
        <w:pStyle w:val="ListParagraph"/>
        <w:numPr>
          <w:ilvl w:val="0"/>
          <w:numId w:val="2"/>
        </w:numPr>
        <w:spacing w:after="40" w:before="40"/>
      </w:pPr>
      <w:r>
        <w:rPr>
          <w:rFonts w:ascii="Arial" w:cs="Arial" w:eastAsia="Arial" w:hAnsi="Arial"/>
          <w:sz w:val="22"/>
          <w:szCs w:val="22"/>
        </w:rPr>
        <w:t xml:space="preserve">AI Ethics &amp; Decision-Making — appropriate for 9-12 ethics and social studies</w:t>
      </w:r>
    </w:p>
    <w:p>
      <w:pPr>
        <w:pStyle w:val="ListParagraph"/>
        <w:numPr>
          <w:ilvl w:val="0"/>
          <w:numId w:val="2"/>
        </w:numPr>
        <w:spacing w:after="40" w:before="40"/>
      </w:pPr>
      <w:r>
        <w:rPr>
          <w:rFonts w:ascii="Arial" w:cs="Arial" w:eastAsia="Arial" w:hAnsi="Arial"/>
          <w:sz w:val="22"/>
          <w:szCs w:val="22"/>
        </w:rPr>
        <w:t xml:space="preserve">GPT vs. Claude vs. Gemini — strong technical depth for 9-12 computer science</w:t>
      </w:r>
    </w:p>
    <w:p>
      <w:pPr>
        <w:spacing w:after="0" w:before="120"/>
      </w:pPr>
      <w:r>
        <w:t xml:space="preserve"/>
      </w:r>
    </w:p>
    <w:p>
      <w:pPr>
        <w:spacing w:after="60" w:before="60"/>
      </w:pPr>
      <w:r>
        <w:rPr>
          <w:rFonts w:ascii="Arial" w:cs="Arial" w:eastAsia="Arial" w:hAnsi="Arial"/>
          <w:sz w:val="22"/>
          <w:szCs w:val="22"/>
        </w:rPr>
        <w:t xml:space="preserve">Courses that would require significant adaptation for K-12 contexts:</w:t>
      </w:r>
    </w:p>
    <w:p>
      <w:pPr>
        <w:pStyle w:val="ListParagraph"/>
        <w:numPr>
          <w:ilvl w:val="0"/>
          <w:numId w:val="2"/>
        </w:numPr>
        <w:spacing w:after="40" w:before="40"/>
      </w:pPr>
      <w:r>
        <w:rPr>
          <w:rFonts w:ascii="Arial" w:cs="Arial" w:eastAsia="Arial" w:hAnsi="Arial"/>
          <w:sz w:val="22"/>
          <w:szCs w:val="22"/>
        </w:rPr>
        <w:t xml:space="preserve">Building AI Agents series — highly technical, requires programming background</w:t>
      </w:r>
    </w:p>
    <w:p>
      <w:pPr>
        <w:pStyle w:val="ListParagraph"/>
        <w:numPr>
          <w:ilvl w:val="0"/>
          <w:numId w:val="2"/>
        </w:numPr>
        <w:spacing w:after="40" w:before="40"/>
      </w:pPr>
      <w:r>
        <w:rPr>
          <w:rFonts w:ascii="Arial" w:cs="Arial" w:eastAsia="Arial" w:hAnsi="Arial"/>
          <w:sz w:val="22"/>
          <w:szCs w:val="22"/>
        </w:rPr>
        <w:t xml:space="preserve">RAG Systems from Scratch — graduate-level technical depth</w:t>
      </w:r>
    </w:p>
    <w:p>
      <w:pPr>
        <w:pStyle w:val="ListParagraph"/>
        <w:numPr>
          <w:ilvl w:val="0"/>
          <w:numId w:val="2"/>
        </w:numPr>
        <w:spacing w:after="40" w:before="40"/>
      </w:pPr>
      <w:r>
        <w:rPr>
          <w:rFonts w:ascii="Arial" w:cs="Arial" w:eastAsia="Arial" w:hAnsi="Arial"/>
          <w:sz w:val="22"/>
          <w:szCs w:val="22"/>
        </w:rPr>
        <w:t xml:space="preserve">AI for Solo Founders / Marketing — audience and framing inappropriate for K-12</w:t>
      </w:r>
    </w:p>
    <w:p>
      <w:pPr>
        <w:spacing w:after="0" w:before="120"/>
      </w:pPr>
      <w:r>
        <w:t xml:space="preserve"/>
      </w:r>
    </w:p>
    <w:p>
      <w:pPr>
        <w:pStyle w:val="Heading2"/>
        <w:pBdr>
          <w:bottom w:val="single" w:color="2E75B6" w:sz="4" w:space="1"/>
        </w:pBdr>
        <w:spacing w:after="120" w:before="240"/>
      </w:pPr>
      <w:r>
        <w:rPr>
          <w:rFonts w:ascii="Arial" w:cs="Arial" w:eastAsia="Arial" w:hAnsi="Arial"/>
          <w:b/>
          <w:bCs/>
          <w:color w:val="2E75B6"/>
          <w:sz w:val="26"/>
          <w:szCs w:val="26"/>
        </w:rPr>
        <w:t xml:space="preserve">Recommended Next Steps</w:t>
      </w:r>
    </w:p>
    <w:p>
      <w:pPr>
        <w:pStyle w:val="ListParagraph"/>
        <w:numPr>
          <w:ilvl w:val="0"/>
          <w:numId w:val="3"/>
        </w:numPr>
        <w:spacing w:after="40" w:before="40"/>
      </w:pPr>
      <w:r>
        <w:rPr>
          <w:rFonts w:ascii="Arial" w:cs="Arial" w:eastAsia="Arial" w:hAnsi="Arial"/>
          <w:sz w:val="22"/>
          <w:szCs w:val="22"/>
        </w:rPr>
        <w:t xml:space="preserve">Commission a formal alignment crosswalk document mapping specific lessons to AI4K12 grade band progression charts — this is what district curriculum coordinators will request.</w:t>
      </w:r>
    </w:p>
    <w:p>
      <w:pPr>
        <w:pStyle w:val="ListParagraph"/>
        <w:numPr>
          <w:ilvl w:val="0"/>
          <w:numId w:val="3"/>
        </w:numPr>
        <w:spacing w:after="40" w:before="40"/>
      </w:pPr>
      <w:r>
        <w:rPr>
          <w:rFonts w:ascii="Arial" w:cs="Arial" w:eastAsia="Arial" w:hAnsi="Arial"/>
          <w:sz w:val="22"/>
          <w:szCs w:val="22"/>
        </w:rPr>
        <w:t xml:space="preserve">Develop a dedicated 'AI Perception' course or module to close the primary Big Idea 1 gap.</w:t>
      </w:r>
    </w:p>
    <w:p>
      <w:pPr>
        <w:pStyle w:val="ListParagraph"/>
        <w:numPr>
          <w:ilvl w:val="0"/>
          <w:numId w:val="3"/>
        </w:numPr>
        <w:spacing w:after="40" w:before="40"/>
      </w:pPr>
      <w:r>
        <w:rPr>
          <w:rFonts w:ascii="Arial" w:cs="Arial" w:eastAsia="Arial" w:hAnsi="Arial"/>
          <w:sz w:val="22"/>
          <w:szCs w:val="22"/>
        </w:rPr>
        <w:t xml:space="preserve">Engage a credentialed K-12 educator as curriculum reviewer to validate grade-level appropriateness and document the review process for accreditation purposes.</w:t>
      </w:r>
    </w:p>
    <w:p>
      <w:pPr>
        <w:pStyle w:val="ListParagraph"/>
        <w:numPr>
          <w:ilvl w:val="0"/>
          <w:numId w:val="3"/>
        </w:numPr>
        <w:spacing w:after="40" w:before="40"/>
      </w:pPr>
      <w:r>
        <w:rPr>
          <w:rFonts w:ascii="Arial" w:cs="Arial" w:eastAsia="Arial" w:hAnsi="Arial"/>
          <w:sz w:val="22"/>
          <w:szCs w:val="22"/>
        </w:rPr>
        <w:t xml:space="preserve">Add explicit AI4K12 alignment labels to course descriptions on the website — this signals credibility to district buyers and curriculum reviewers.</w:t>
      </w:r>
    </w:p>
    <w:p>
      <w:pPr>
        <w:pStyle w:val="ListParagraph"/>
        <w:numPr>
          <w:ilvl w:val="0"/>
          <w:numId w:val="3"/>
        </w:numPr>
        <w:spacing w:after="40" w:before="40"/>
      </w:pPr>
      <w:r>
        <w:rPr>
          <w:rFonts w:ascii="Arial" w:cs="Arial" w:eastAsia="Arial" w:hAnsi="Arial"/>
          <w:sz w:val="22"/>
          <w:szCs w:val="22"/>
        </w:rPr>
        <w:t xml:space="preserve">Consider pursuing ISTE Standards alignment documentation in parallel, as ISTE is widely adopted by districts and complements AI4K12.</w:t>
      </w:r>
    </w:p>
    <w:p>
      <w:r>
        <w:br w:type="page"/>
      </w:r>
    </w:p>
    <w:p>
      <w:pPr>
        <w:pStyle w:val="Heading1"/>
        <w:spacing w:after="160" w:before="320"/>
      </w:pPr>
      <w:r>
        <w:rPr>
          <w:rFonts w:ascii="Arial" w:cs="Arial" w:eastAsia="Arial" w:hAnsi="Arial"/>
          <w:b/>
          <w:bCs/>
          <w:color w:val="1E3A5F"/>
          <w:sz w:val="32"/>
          <w:szCs w:val="32"/>
        </w:rPr>
        <w:t xml:space="preserve">Conclusion</w:t>
      </w:r>
    </w:p>
    <w:p>
      <w:pPr>
        <w:spacing w:after="60" w:before="60"/>
      </w:pPr>
      <w:r>
        <w:rPr>
          <w:rFonts w:ascii="Arial" w:cs="Arial" w:eastAsia="Arial" w:hAnsi="Arial"/>
          <w:sz w:val="22"/>
          <w:szCs w:val="22"/>
        </w:rPr>
        <w:t xml:space="preserve">Aesop Academy's catalog demonstrates strong to exceptional alignment with AI4K12 Big Ideas 3 (Learning), 4 (Natural Interaction), and 5 (Societal Impact). The breadth and depth of Societal Impact coverage in particular represents a genuine competitive strength that is difficult to replicate and highly valued in the current K-12 AI education landscape.</w:t>
      </w:r>
    </w:p>
    <w:p>
      <w:pPr>
        <w:spacing w:after="0" w:before="120"/>
      </w:pPr>
      <w:r>
        <w:t xml:space="preserve"/>
      </w:r>
    </w:p>
    <w:p>
      <w:pPr>
        <w:spacing w:after="60" w:before="60"/>
      </w:pPr>
      <w:r>
        <w:rPr>
          <w:rFonts w:ascii="Arial" w:cs="Arial" w:eastAsia="Arial" w:hAnsi="Arial"/>
          <w:sz w:val="22"/>
          <w:szCs w:val="22"/>
        </w:rPr>
        <w:t xml:space="preserve">The primary strategic gap is Big Idea 1 (Perception) — foundational content explaining how AI systems sense and interpret the world. Closing this gap with one dedicated course or module would substantially complete Aesop Academy's AI4K12 alignment story.</w:t>
      </w:r>
    </w:p>
    <w:p>
      <w:pPr>
        <w:spacing w:after="0" w:before="120"/>
      </w:pPr>
      <w:r>
        <w:t xml:space="preserve"/>
      </w:r>
    </w:p>
    <w:p>
      <w:pPr>
        <w:spacing w:after="60" w:before="60"/>
      </w:pPr>
      <w:r>
        <w:rPr>
          <w:rFonts w:ascii="Arial" w:cs="Arial" w:eastAsia="Arial" w:hAnsi="Arial"/>
          <w:sz w:val="22"/>
          <w:szCs w:val="22"/>
        </w:rPr>
        <w:t xml:space="preserve">The catalog is best positioned for the 9-12 grade band and for professional development of K-12 educators, rather than direct student use at lower grade bands without adaptation. A formal alignment crosswalk document and credentialed educator review process are the two highest-priority next steps for accreditation and procurement readiness.</w:t>
      </w:r>
    </w:p>
    <w:p>
      <w:pPr>
        <w:spacing w:after="0" w:before="240"/>
      </w:pPr>
      <w:r>
        <w:t xml:space="preserve"/>
      </w:r>
    </w:p>
    <w:p>
      <w:pPr>
        <w:pBdr>
          <w:top w:val="single" w:color="C9A227" w:sz="4" w:space="1"/>
        </w:pBdr>
        <w:spacing w:after="60" w:before="240"/>
      </w:pPr>
      <w:r>
        <w:rPr>
          <w:rFonts w:ascii="Arial" w:cs="Arial" w:eastAsia="Arial" w:hAnsi="Arial"/>
          <w:i/>
          <w:iCs/>
          <w:color w:val="666666"/>
          <w:sz w:val="18"/>
          <w:szCs w:val="18"/>
        </w:rPr>
        <w:t xml:space="preserve">Aesop Academy  |  AI4K12 Standards Alignment Evaluation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666666"/>
        <w:sz w:val="18"/>
        <w:szCs w:val="18"/>
      </w:rPr>
      <w:t xml:space="preserve">Confidential — Aesop Academy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8640"/>
      </w:tabs>
    </w:pPr>
    <w:r>
      <w:rPr>
        <w:rFonts w:ascii="Arial" w:cs="Arial" w:eastAsia="Arial" w:hAnsi="Arial"/>
        <w:color w:val="666666"/>
        <w:sz w:val="18"/>
        <w:szCs w:val="18"/>
      </w:rPr>
      <w:t xml:space="preserve">Aesop Academy  |  AI4K12 Standards Alignment Evaluation</w:t>
    </w:r>
    <w:r>
      <w:rPr>
        <w:rFonts w:ascii="Arial" w:cs="Arial" w:eastAsia="Arial" w:hAnsi="Arial"/>
        <w:color w:val="666666"/>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2026-04-16T02:55:03.373Z</dcterms:created>
  <dcterms:modified xsi:type="dcterms:W3CDTF">2026-04-16T02:55:03.373Z</dcterms:modified>
</cp:coreProperties>
</file>

<file path=docProps/custom.xml><?xml version="1.0" encoding="utf-8"?>
<Properties xmlns="http://schemas.openxmlformats.org/officeDocument/2006/custom-properties" xmlns:vt="http://schemas.openxmlformats.org/officeDocument/2006/docPropsVTypes"/>
</file>