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同一可行解區域（M4G 限制式，允許行級拆單）下，Jiao 的固定權重目標式（w1=1, w2=−40, w3=1000）相對本研究的比值目標式（λ/μ/β 量測）表現如何？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1407.8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959.2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205.1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736.2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0.91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同一可行解區域（M4G 限制式，允許行級拆單）下，Jiao 的固定權重目標式（w1=1, w2=−40, w3=1000）相對本研究的比值目標式（λ/μ/β 量測）表現如何？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+1.59**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+20.91***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−15.94***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−17.24***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−16.10***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−16.77***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−37.25**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−0.73*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+74.11***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−42.47***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−42.56***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−34.02***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−35.41***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−6.01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