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v1 M4G（拆單）下，Dinkelbach 動態定價是否優於事後最佳的固定 λ/μ？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408.5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4.634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587.6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1264.3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4.262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12.25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1264.1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841.9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4.247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129.3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0.2364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1391.8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1390.4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4.513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1394.1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4.553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1396.2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4.582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4.539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34.95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1402.9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1424.6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937.5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592.1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187.8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0.3172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14.94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1.954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614.2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v1 M4G（拆單）下，Dinkelbach 動態定價是否優於事後最佳的固定 λ/μ？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26.34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9.00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28.63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8.81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−33.35**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−32.96**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−31.81**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−13.18***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−19.95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+15.49***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+16.32**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+15.53**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−29.27***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+2260.43**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−10.96**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−11.51**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−9.86**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−20.16***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+13.18*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+25.41***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+16.97***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−26.55***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+742.88**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−20.44***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+26.07***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+15.73***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−28.24***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+746.09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−1.98***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+15.73***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+135.56***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−2.25***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−1.72*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+16.21***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+18.22***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+15.83***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+141.20***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−14.70***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+15.49***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+15.34***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+123.52***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−14.16***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+16.45***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+16.59***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−19.94***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+112.60***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−34.41**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−33.47**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−32.81**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−11.30*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−20.17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+14.12*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−32.08***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+3984.10**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−8.38*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−9.74**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−7.71*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−31.77***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+35.51***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+46.87***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+28.68***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−27.33***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+968.78*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−2.32**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−36.83***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+54.66***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+58.38***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+36.97***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+38.96***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−27.71***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+209.32***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−39.39***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+62.88***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+64.93***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+38.52***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+42.68***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−21.47***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+21.27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−39.56***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+63.05***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+65.35***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+40.86***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+44.48***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−21.70***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+27.88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−38.54***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+60.00***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+62.61***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+41.01***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+45.06***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−19.11***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+26.83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m4g_fix28_10b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m4g_dyn_10b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−0.29**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−1.54**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−1.89**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−38.37***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+59.15***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+62.20***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+44.36***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+48.36***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−22.03***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+34.00**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