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大規模（45 台）HGS-M5 下，Dinkelbach 動態定價是否優於事後最佳的固定 λ/μ？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7399.2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4785.8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2991.0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7.984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14.41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m5_fix6_45b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7961.5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5156.3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3236.6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8.091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m5_fix8_45b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5332.0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3339.4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8.195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8370.2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5421.4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3400.0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8.136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m5_fix20_45b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8372.4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5426.1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3403.2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8.113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8342.5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5411.0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3404.9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8.362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407.3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3.656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387.6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3.51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大規模（45 台）HGS-M5 下，Dinkelbach 動態定價是否優於事後最佳的固定 λ/μ？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m5_fix6_45b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m5_fix8_45b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m5_fix20_45b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−11.65***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+280.47***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m5_fix6_45b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−4.39***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−5.74***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−3.66***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−2.87*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+109.06***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m5_fix8_45b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−6.90***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−4.38***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−3.70***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−3.61**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+29.04***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+6.70***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−6.24***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−2.57**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−15.62**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m5_fix20_45b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+6.40***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−5.49***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−5.98***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−16.43***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+0.29*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+9.66***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−8.29***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+1.54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−1.92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−7.35*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