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DF9" w:rsidRDefault="00630659">
      <w:pPr>
        <w:rPr>
          <w:lang w:val="en-US"/>
        </w:rPr>
      </w:pPr>
      <w:r>
        <w:rPr>
          <w:lang w:val="en-US"/>
        </w:rPr>
        <w:t>References:</w:t>
      </w:r>
    </w:p>
    <w:p w:rsidR="00630659" w:rsidRDefault="00630659">
      <w:pPr>
        <w:rPr>
          <w:lang w:val="en-US"/>
        </w:rPr>
      </w:pPr>
      <w:r>
        <w:rPr>
          <w:lang w:val="en-US"/>
        </w:rPr>
        <w:t>Agile Manifesto</w:t>
      </w:r>
    </w:p>
    <w:p w:rsidR="00630659" w:rsidRDefault="00630659" w:rsidP="006306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Individuals and interactions – over processes and tools</w:t>
      </w:r>
    </w:p>
    <w:p w:rsidR="00630659" w:rsidRDefault="00630659" w:rsidP="006306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Working software – over comprehensive documentation</w:t>
      </w:r>
    </w:p>
    <w:p w:rsidR="00630659" w:rsidRDefault="00630659" w:rsidP="006306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collaboration – over contract negotiation</w:t>
      </w:r>
    </w:p>
    <w:p w:rsidR="00630659" w:rsidRDefault="00630659" w:rsidP="006306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Responding to change – over following a plan</w:t>
      </w:r>
    </w:p>
    <w:p w:rsidR="00630659" w:rsidRPr="00630659" w:rsidRDefault="00630659" w:rsidP="00630659">
      <w:pPr>
        <w:ind w:left="360"/>
        <w:rPr>
          <w:lang w:val="en-US"/>
        </w:rPr>
      </w:pPr>
      <w:sdt>
        <w:sdtPr>
          <w:rPr>
            <w:lang w:val="en-US"/>
          </w:rPr>
          <w:id w:val="226882733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Kei10 \l 1033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(Keith, 2010)</w:t>
          </w:r>
          <w:r>
            <w:rPr>
              <w:lang w:val="en-US"/>
            </w:rPr>
            <w:fldChar w:fldCharType="end"/>
          </w:r>
        </w:sdtContent>
      </w:sdt>
    </w:p>
    <w:p w:rsidR="00630659" w:rsidRDefault="00630659">
      <w:pPr>
        <w:rPr>
          <w:lang w:val="en-US"/>
        </w:rPr>
      </w:pPr>
      <w:r>
        <w:rPr>
          <w:lang w:val="en-US"/>
        </w:rPr>
        <w:t xml:space="preserve">Sprints: we will develop the product over a series of weekly sprints </w:t>
      </w:r>
      <w:sdt>
        <w:sdtPr>
          <w:rPr>
            <w:lang w:val="en-US"/>
          </w:rPr>
          <w:id w:val="781923455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CITATION Kei10 \p 42 \l 1033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(Keith, 2010, p. 42)</w:t>
          </w:r>
          <w:r>
            <w:rPr>
              <w:lang w:val="en-US"/>
            </w:rPr>
            <w:fldChar w:fldCharType="end"/>
          </w:r>
        </w:sdtContent>
      </w:sdt>
      <w:r w:rsidR="002D2E38">
        <w:rPr>
          <w:lang w:val="en-US"/>
        </w:rPr>
        <w:t xml:space="preserve">. The product catalogue was priorities using </w:t>
      </w:r>
      <w:proofErr w:type="spellStart"/>
      <w:r w:rsidR="002D2E38">
        <w:rPr>
          <w:lang w:val="en-US"/>
        </w:rPr>
        <w:t>MoSCoW</w:t>
      </w:r>
      <w:proofErr w:type="spellEnd"/>
      <w:r w:rsidR="002D2E38">
        <w:rPr>
          <w:lang w:val="en-US"/>
        </w:rPr>
        <w:t xml:space="preserve"> and the sequence of dependencies between screens established to feed into project planning </w:t>
      </w:r>
      <w:sdt>
        <w:sdtPr>
          <w:rPr>
            <w:lang w:val="en-US"/>
          </w:rPr>
          <w:id w:val="-1557235443"/>
          <w:citation/>
        </w:sdtPr>
        <w:sdtContent>
          <w:r w:rsidR="002D2E38">
            <w:rPr>
              <w:lang w:val="en-US"/>
            </w:rPr>
            <w:fldChar w:fldCharType="begin"/>
          </w:r>
          <w:r w:rsidR="002D2E38">
            <w:rPr>
              <w:lang w:val="en-US"/>
            </w:rPr>
            <w:instrText xml:space="preserve">CITATION Hug02 \p 125 \l 1033 </w:instrText>
          </w:r>
          <w:r w:rsidR="002D2E38">
            <w:rPr>
              <w:lang w:val="en-US"/>
            </w:rPr>
            <w:fldChar w:fldCharType="separate"/>
          </w:r>
          <w:r w:rsidR="002D2E38">
            <w:rPr>
              <w:noProof/>
              <w:lang w:val="en-US"/>
            </w:rPr>
            <w:t>(Hughes &amp; Cotterell, 2002, p. 125)</w:t>
          </w:r>
          <w:r w:rsidR="002D2E38">
            <w:rPr>
              <w:lang w:val="en-US"/>
            </w:rPr>
            <w:fldChar w:fldCharType="end"/>
          </w:r>
        </w:sdtContent>
      </w:sdt>
      <w:r w:rsidR="002D2E38">
        <w:rPr>
          <w:lang w:val="en-US"/>
        </w:rPr>
        <w:t xml:space="preserve"> </w:t>
      </w:r>
    </w:p>
    <w:p w:rsidR="00630659" w:rsidRDefault="00630659">
      <w:pPr>
        <w:rPr>
          <w:lang w:val="en-US"/>
        </w:rPr>
      </w:pPr>
      <w:r>
        <w:rPr>
          <w:lang w:val="en-US"/>
        </w:rPr>
        <w:t>Once the requirements had been gathered and catalogued into a backlog of user stories</w:t>
      </w:r>
      <w:r w:rsidR="00B96104">
        <w:rPr>
          <w:lang w:val="en-US"/>
        </w:rPr>
        <w:t xml:space="preserve"> </w:t>
      </w:r>
      <w:sdt>
        <w:sdtPr>
          <w:rPr>
            <w:lang w:val="en-US"/>
          </w:rPr>
          <w:id w:val="950600291"/>
          <w:citation/>
        </w:sdtPr>
        <w:sdtContent>
          <w:r w:rsidR="00B96104">
            <w:rPr>
              <w:lang w:val="en-US"/>
            </w:rPr>
            <w:fldChar w:fldCharType="begin"/>
          </w:r>
          <w:r w:rsidR="00B96104">
            <w:rPr>
              <w:lang w:val="en-US"/>
            </w:rPr>
            <w:instrText xml:space="preserve">CITATION Kei10 \p 87-88 \l 1033 </w:instrText>
          </w:r>
          <w:r w:rsidR="00B96104">
            <w:rPr>
              <w:lang w:val="en-US"/>
            </w:rPr>
            <w:fldChar w:fldCharType="separate"/>
          </w:r>
          <w:r w:rsidR="00B96104">
            <w:rPr>
              <w:noProof/>
              <w:lang w:val="en-US"/>
            </w:rPr>
            <w:t>(Keith, 2010, pp. 87-88)</w:t>
          </w:r>
          <w:r w:rsidR="00B96104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we could being sprint planning </w:t>
      </w:r>
      <w:sdt>
        <w:sdtPr>
          <w:rPr>
            <w:lang w:val="en-US"/>
          </w:rPr>
          <w:id w:val="-1380701864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CITATION Kei10 \p 61 \l 1033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(Keith, 2010, p. 61)</w:t>
          </w:r>
          <w:r>
            <w:rPr>
              <w:lang w:val="en-US"/>
            </w:rPr>
            <w:fldChar w:fldCharType="end"/>
          </w:r>
        </w:sdtContent>
      </w:sdt>
    </w:p>
    <w:p w:rsidR="00285985" w:rsidRDefault="00285985">
      <w:pPr>
        <w:rPr>
          <w:lang w:val="en-US"/>
        </w:rPr>
      </w:pPr>
      <w:r>
        <w:rPr>
          <w:lang w:val="en-US"/>
        </w:rPr>
        <w:t xml:space="preserve">Trello was used as our scrum task board </w:t>
      </w:r>
      <w:sdt>
        <w:sdtPr>
          <w:rPr>
            <w:lang w:val="en-US"/>
          </w:rPr>
          <w:id w:val="907186565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CITATION Kei10 \p 72 \l 1033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(Keith, 2010, p. 72)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, this was updated with tasks for each sprint.</w:t>
      </w:r>
    </w:p>
    <w:p w:rsidR="00EE15C3" w:rsidRDefault="00EE15C3">
      <w:pPr>
        <w:rPr>
          <w:lang w:val="en-US"/>
        </w:rPr>
      </w:pPr>
      <w:r>
        <w:rPr>
          <w:lang w:val="en-US"/>
        </w:rPr>
        <w:t xml:space="preserve">Agile testing is not a phase, testing and QA takes place throughout the lifecycle </w:t>
      </w:r>
      <w:sdt>
        <w:sdtPr>
          <w:rPr>
            <w:lang w:val="en-US"/>
          </w:rPr>
          <w:id w:val="-1888181536"/>
          <w:citation/>
        </w:sdtPr>
        <w:sdtContent>
          <w:r w:rsidR="00101683">
            <w:rPr>
              <w:lang w:val="en-US"/>
            </w:rPr>
            <w:fldChar w:fldCharType="begin"/>
          </w:r>
          <w:r w:rsidR="00101683">
            <w:rPr>
              <w:lang w:val="en-US"/>
            </w:rPr>
            <w:instrText xml:space="preserve">CITATION Hug02 \p 260-261 \l 1033 </w:instrText>
          </w:r>
          <w:r w:rsidR="00101683">
            <w:rPr>
              <w:lang w:val="en-US"/>
            </w:rPr>
            <w:fldChar w:fldCharType="separate"/>
          </w:r>
          <w:r w:rsidR="00101683">
            <w:rPr>
              <w:noProof/>
              <w:lang w:val="en-US"/>
            </w:rPr>
            <w:t>(Hughes &amp; Cotterell, 2002, pp. 260-261)</w:t>
          </w:r>
          <w:r w:rsidR="00101683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599001068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CITATION Kei10 \p 251 \l 1033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(Keith, 2010, p. 251)</w:t>
          </w:r>
          <w:r>
            <w:rPr>
              <w:lang w:val="en-US"/>
            </w:rPr>
            <w:fldChar w:fldCharType="end"/>
          </w:r>
        </w:sdtContent>
      </w:sdt>
    </w:p>
    <w:p w:rsidR="00EE15C3" w:rsidRDefault="0094311F">
      <w:pPr>
        <w:rPr>
          <w:lang w:val="en-US"/>
        </w:rPr>
      </w:pPr>
      <w:r>
        <w:rPr>
          <w:lang w:val="en-US"/>
        </w:rPr>
        <w:t>QA is part of every role.</w:t>
      </w:r>
    </w:p>
    <w:p w:rsidR="0094311F" w:rsidRDefault="0094311F">
      <w:pPr>
        <w:rPr>
          <w:lang w:val="en-US"/>
        </w:rPr>
      </w:pPr>
      <w:r>
        <w:rPr>
          <w:lang w:val="en-US"/>
        </w:rPr>
        <w:t xml:space="preserve">Identify stakeholders </w:t>
      </w:r>
      <w:sdt>
        <w:sdtPr>
          <w:rPr>
            <w:lang w:val="en-US"/>
          </w:rPr>
          <w:id w:val="-847331228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CITATION Hug02 \p 13 \l 1033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(Hughes &amp; Cotterell, 2002, p. 13)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</w:t>
      </w:r>
    </w:p>
    <w:p w:rsidR="00E438FF" w:rsidRDefault="00E438FF">
      <w:pPr>
        <w:rPr>
          <w:lang w:val="en-US"/>
        </w:rPr>
      </w:pPr>
      <w:r>
        <w:rPr>
          <w:lang w:val="en-US"/>
        </w:rPr>
        <w:t xml:space="preserve">Requirements specification </w:t>
      </w:r>
      <w:sdt>
        <w:sdtPr>
          <w:rPr>
            <w:lang w:val="en-US"/>
          </w:rPr>
          <w:id w:val="-1489318648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CITATION Hug02 \p 14 \l 1033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(Hughes &amp; Cotterell, 2002, p. 14)</w:t>
          </w:r>
          <w:r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908227942"/>
          <w:citation/>
        </w:sdtPr>
        <w:sdtContent>
          <w:r w:rsidR="008B39F3">
            <w:rPr>
              <w:lang w:val="en-US"/>
            </w:rPr>
            <w:fldChar w:fldCharType="begin"/>
          </w:r>
          <w:r w:rsidR="008B39F3">
            <w:rPr>
              <w:lang w:val="en-US"/>
            </w:rPr>
            <w:instrText xml:space="preserve">CITATION Kei10 \p "94, 103" \l 1033 </w:instrText>
          </w:r>
          <w:r w:rsidR="008B39F3">
            <w:rPr>
              <w:lang w:val="en-US"/>
            </w:rPr>
            <w:fldChar w:fldCharType="separate"/>
          </w:r>
          <w:r w:rsidR="008B39F3">
            <w:rPr>
              <w:noProof/>
              <w:lang w:val="en-US"/>
            </w:rPr>
            <w:t xml:space="preserve"> (Keith, 2010, pp. 94, 103)</w:t>
          </w:r>
          <w:r w:rsidR="008B39F3">
            <w:rPr>
              <w:lang w:val="en-US"/>
            </w:rPr>
            <w:fldChar w:fldCharType="end"/>
          </w:r>
        </w:sdtContent>
      </w:sdt>
    </w:p>
    <w:p w:rsidR="00630659" w:rsidRDefault="00E438FF">
      <w:pPr>
        <w:rPr>
          <w:lang w:val="en-US"/>
        </w:rPr>
      </w:pPr>
      <w:r>
        <w:rPr>
          <w:lang w:val="en-US"/>
        </w:rPr>
        <w:t xml:space="preserve">Cost benefit analysis </w:t>
      </w:r>
      <w:sdt>
        <w:sdtPr>
          <w:rPr>
            <w:lang w:val="en-US"/>
          </w:rPr>
          <w:id w:val="772898944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CITATION Hug02 \p 53-60 \l 1033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(Hughes &amp; Cotterell, 2002, pp. 53-60)</w:t>
          </w:r>
          <w:r>
            <w:rPr>
              <w:lang w:val="en-US"/>
            </w:rPr>
            <w:fldChar w:fldCharType="end"/>
          </w:r>
        </w:sdtContent>
      </w:sdt>
    </w:p>
    <w:p w:rsidR="00B94246" w:rsidRDefault="00B94246">
      <w:pPr>
        <w:rPr>
          <w:lang w:val="en-US"/>
        </w:rPr>
      </w:pPr>
      <w:r>
        <w:rPr>
          <w:lang w:val="en-US"/>
        </w:rPr>
        <w:t xml:space="preserve">Choosing Technologies </w:t>
      </w:r>
      <w:sdt>
        <w:sdtPr>
          <w:rPr>
            <w:lang w:val="en-US"/>
          </w:rPr>
          <w:id w:val="1662887644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CITATION Hug02 \p 70-73 \l 1033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(Hughes &amp; Cotterell, 2002, pp. 70-73)</w:t>
          </w:r>
          <w:r>
            <w:rPr>
              <w:lang w:val="en-US"/>
            </w:rPr>
            <w:fldChar w:fldCharType="end"/>
          </w:r>
        </w:sdtContent>
      </w:sdt>
    </w:p>
    <w:sdt>
      <w:sdtPr>
        <w:id w:val="-139804918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:rsidR="00425A80" w:rsidRDefault="00425A80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425A80" w:rsidRDefault="00425A80" w:rsidP="00425A80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Hughes, B., &amp; Cotterell, M. (2002). </w:t>
              </w:r>
              <w:r>
                <w:rPr>
                  <w:i/>
                  <w:iCs/>
                  <w:noProof/>
                  <w:lang w:val="en-US"/>
                </w:rPr>
                <w:t>Software project management .</w:t>
              </w:r>
              <w:r>
                <w:rPr>
                  <w:noProof/>
                  <w:lang w:val="en-US"/>
                </w:rPr>
                <w:t xml:space="preserve"> Maidenhead: McGraw Hill.</w:t>
              </w:r>
            </w:p>
            <w:p w:rsidR="00425A80" w:rsidRDefault="00425A80" w:rsidP="00425A8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Keith, C. (2010). </w:t>
              </w:r>
              <w:r>
                <w:rPr>
                  <w:i/>
                  <w:iCs/>
                  <w:noProof/>
                  <w:lang w:val="en-US"/>
                </w:rPr>
                <w:t>Agile game development with Scrum.</w:t>
              </w:r>
              <w:r>
                <w:rPr>
                  <w:noProof/>
                  <w:lang w:val="en-US"/>
                </w:rPr>
                <w:t xml:space="preserve"> London: Addison-Wesley.</w:t>
              </w:r>
            </w:p>
            <w:p w:rsidR="00425A80" w:rsidRDefault="00425A80" w:rsidP="00425A8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8B39F3" w:rsidRPr="00630659" w:rsidRDefault="008B39F3">
      <w:pPr>
        <w:rPr>
          <w:lang w:val="en-US"/>
        </w:rPr>
      </w:pPr>
      <w:bookmarkStart w:id="0" w:name="_GoBack"/>
      <w:bookmarkEnd w:id="0"/>
    </w:p>
    <w:sectPr w:rsidR="008B39F3" w:rsidRPr="00630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E27853"/>
    <w:multiLevelType w:val="hybridMultilevel"/>
    <w:tmpl w:val="926CD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659"/>
    <w:rsid w:val="000B4DF9"/>
    <w:rsid w:val="00101683"/>
    <w:rsid w:val="00285985"/>
    <w:rsid w:val="002D2E38"/>
    <w:rsid w:val="00425A80"/>
    <w:rsid w:val="00630659"/>
    <w:rsid w:val="008B39F3"/>
    <w:rsid w:val="0094311F"/>
    <w:rsid w:val="00B94246"/>
    <w:rsid w:val="00B96104"/>
    <w:rsid w:val="00E438FF"/>
    <w:rsid w:val="00EE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AA47"/>
  <w15:chartTrackingRefBased/>
  <w15:docId w15:val="{7512D33A-C0AA-403D-80D1-A08A41F49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6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5A8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425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Kei10</b:Tag>
    <b:SourceType>Book</b:SourceType>
    <b:Guid>{2122FDBC-4D09-4DC7-9D08-3046FBBC6614}</b:Guid>
    <b:Title>Agile game development with Scrum</b:Title>
    <b:Year>2010</b:Year>
    <b:City>London</b:City>
    <b:Publisher>Addison-Wesley</b:Publisher>
    <b:Author>
      <b:Author>
        <b:NameList>
          <b:Person>
            <b:Last>Keith</b:Last>
            <b:First>Clinton</b:First>
          </b:Person>
        </b:NameList>
      </b:Author>
    </b:Author>
    <b:RefOrder>1</b:RefOrder>
  </b:Source>
  <b:Source>
    <b:Tag>Hug02</b:Tag>
    <b:SourceType>Book</b:SourceType>
    <b:Guid>{35A94E90-7FDA-4C9E-A9D2-DF94255F6A6F}</b:Guid>
    <b:Title>Software project management </b:Title>
    <b:Year>2002</b:Year>
    <b:City>Maidenhead</b:City>
    <b:Publisher>McGraw Hill</b:Publisher>
    <b:Author>
      <b:Author>
        <b:NameList>
          <b:Person>
            <b:Last>Hughes</b:Last>
            <b:First>Bob</b:First>
          </b:Person>
          <b:Person>
            <b:Last>Cotterell</b:Last>
            <b:First>Mike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40F457B7-682F-4CCA-8B91-B09C6E19B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11</cp:revision>
  <dcterms:created xsi:type="dcterms:W3CDTF">2020-01-24T13:50:00Z</dcterms:created>
  <dcterms:modified xsi:type="dcterms:W3CDTF">2020-01-24T14:21:00Z</dcterms:modified>
</cp:coreProperties>
</file>