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E9D37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jc w:val="center"/>
        <w:rPr>
          <w:rFonts w:hint="default" w:ascii="Sitka Small Semibold" w:hAnsi="Sitka Small Semibold" w:eastAsia="sans-serif" w:cs="Sitka Small Semibold"/>
          <w:color w:val="2E54A1" w:themeColor="accent1" w:themeShade="BF"/>
          <w:sz w:val="44"/>
          <w:szCs w:val="44"/>
        </w:rPr>
      </w:pPr>
      <w:r>
        <w:rPr>
          <w:rFonts w:hint="default" w:ascii="Sitka Small Semibold" w:hAnsi="Sitka Small Semibold" w:eastAsia="SimSun" w:cs="Sitka Small Semibold"/>
          <w:color w:val="2E54A1" w:themeColor="accent1" w:themeShade="BF"/>
          <w:sz w:val="44"/>
          <w:szCs w:val="44"/>
        </w:rPr>
        <w:br w:type="textWrapping"/>
      </w:r>
      <w:bookmarkStart w:id="0" w:name="_GoBack"/>
      <w:bookmarkEnd w:id="0"/>
      <w:r>
        <w:rPr>
          <w:rFonts w:hint="default" w:ascii="Sitka Small Semibold" w:hAnsi="Sitka Small Semibold" w:eastAsia="SimSun" w:cs="Sitka Small Semibold"/>
          <w:color w:val="2E54A1" w:themeColor="accent1" w:themeShade="BF"/>
          <w:sz w:val="44"/>
          <w:szCs w:val="44"/>
        </w:rPr>
        <w:t>ENTERPRISE INFORMATION SECURITY POLICY &amp; PROCEDURE</w:t>
      </w:r>
    </w:p>
    <w:p w14:paraId="535F412B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i/>
          <w:iCs/>
          <w:sz w:val="28"/>
          <w:szCs w:val="28"/>
        </w:rPr>
        <w:t>Telehealth Incident Response &amp; Statutory Breach Notification Policy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sz w:val="32"/>
          <w:szCs w:val="32"/>
        </w:rPr>
        <w:t>Platform</w:t>
      </w:r>
      <w:r>
        <w:rPr>
          <w:rFonts w:hint="default" w:ascii="Sitka Small Semibold" w:hAnsi="Sitka Small Semibold" w:eastAsia="sans-serif" w:cs="Sitka Small Semibold"/>
          <w:sz w:val="32"/>
          <w:szCs w:val="32"/>
          <w:lang w:val="en-US"/>
        </w:rPr>
        <w:t>:</w:t>
      </w:r>
      <w:r>
        <w:rPr>
          <w:rFonts w:hint="default" w:ascii="Sitka Small Semibold" w:hAnsi="Sitka Small Semibold" w:eastAsia="sans-serif" w:cs="Sitka Small Semibold"/>
          <w:sz w:val="32"/>
          <w:szCs w:val="32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  <w:t>Mobihealth International</w:t>
      </w:r>
    </w:p>
    <w:p w14:paraId="0769497C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</w:pPr>
      <w:r>
        <w:rPr>
          <w:rFonts w:hint="default" w:ascii="Sitka Small Semibold" w:hAnsi="Sitka Small Semibold" w:eastAsia="sans-serif" w:cs="Sitka Small Semibold"/>
          <w:b/>
          <w:bCs/>
          <w:sz w:val="32"/>
          <w:szCs w:val="32"/>
        </w:rPr>
        <w:t>Document ID:</w:t>
      </w:r>
      <w:r>
        <w:rPr>
          <w:rFonts w:hint="default" w:ascii="Sitka Small Semibold" w:hAnsi="Sitka Small Semibold" w:eastAsia="sans-serif" w:cs="Sitka Small Semibold"/>
          <w:sz w:val="32"/>
          <w:szCs w:val="32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  <w:t>POL-IR-HEALTH-002</w:t>
      </w:r>
    </w:p>
    <w:p w14:paraId="54C10C2A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32"/>
          <w:szCs w:val="32"/>
        </w:rPr>
      </w:pPr>
      <w:r>
        <w:rPr>
          <w:rFonts w:hint="default" w:ascii="Sitka Small Semibold" w:hAnsi="Sitka Small Semibold" w:eastAsia="sans-serif" w:cs="Sitka Small Semibold"/>
          <w:b/>
          <w:bCs/>
          <w:sz w:val="32"/>
          <w:szCs w:val="32"/>
        </w:rPr>
        <w:t>Effective Date:</w:t>
      </w:r>
      <w:r>
        <w:rPr>
          <w:rFonts w:hint="default" w:ascii="Sitka Small Semibold" w:hAnsi="Sitka Small Semibold" w:eastAsia="sans-serif" w:cs="Sitka Small Semibold"/>
          <w:sz w:val="32"/>
          <w:szCs w:val="32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  <w:t>August 2026</w:t>
      </w:r>
    </w:p>
    <w:p w14:paraId="312DEEF7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32"/>
          <w:szCs w:val="32"/>
        </w:rPr>
      </w:pPr>
      <w:r>
        <w:rPr>
          <w:rFonts w:hint="default" w:ascii="Sitka Small Semibold" w:hAnsi="Sitka Small Semibold" w:eastAsia="sans-serif" w:cs="Sitka Small Semibold"/>
          <w:b/>
          <w:bCs/>
          <w:sz w:val="32"/>
          <w:szCs w:val="32"/>
        </w:rPr>
        <w:t>Version:</w:t>
      </w:r>
      <w:r>
        <w:rPr>
          <w:rFonts w:hint="default" w:ascii="Sitka Small Semibold" w:hAnsi="Sitka Small Semibold" w:eastAsia="sans-serif" w:cs="Sitka Small Semibold"/>
          <w:sz w:val="32"/>
          <w:szCs w:val="32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  <w:t>2.0</w:t>
      </w:r>
    </w:p>
    <w:p w14:paraId="26FF7498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32"/>
          <w:szCs w:val="32"/>
        </w:rPr>
      </w:pPr>
      <w:r>
        <w:rPr>
          <w:rFonts w:hint="default" w:ascii="Sitka Small Semibold" w:hAnsi="Sitka Small Semibold" w:eastAsia="sans-serif" w:cs="Sitka Small Semibold"/>
          <w:b/>
          <w:bCs/>
          <w:sz w:val="32"/>
          <w:szCs w:val="32"/>
        </w:rPr>
        <w:t>Target Audience:</w:t>
      </w:r>
      <w:r>
        <w:rPr>
          <w:rFonts w:hint="default" w:ascii="Sitka Small Semibold" w:hAnsi="Sitka Small Semibold" w:eastAsia="sans-serif" w:cs="Sitka Small Semibold"/>
          <w:sz w:val="32"/>
          <w:szCs w:val="32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  <w:t>Security Operations Center (SOC), Incident Response Team (IRT), Data Protection Officer (DPO), Executive Leadership</w:t>
      </w:r>
    </w:p>
    <w:p w14:paraId="6D41950F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b/>
          <w:bCs/>
          <w:sz w:val="32"/>
          <w:szCs w:val="32"/>
        </w:rPr>
        <w:t>Approved By:</w:t>
      </w:r>
      <w:r>
        <w:rPr>
          <w:rFonts w:hint="default" w:ascii="Sitka Small Semibold" w:hAnsi="Sitka Small Semibold" w:eastAsia="sans-serif" w:cs="Sitka Small Semibold"/>
          <w:sz w:val="32"/>
          <w:szCs w:val="32"/>
        </w:rPr>
        <w:t xml:space="preserve"> </w:t>
      </w:r>
      <w:r>
        <w:rPr>
          <w:rFonts w:hint="default" w:ascii="Sitka Small Semibold" w:hAnsi="Sitka Small Semibold" w:eastAsia="sans-serif" w:cs="Sitka Small Semibold"/>
          <w:color w:val="0070C0"/>
          <w:sz w:val="32"/>
          <w:szCs w:val="32"/>
        </w:rPr>
        <w:t>Board Audit &amp; Risk Committee, CISO, DPO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0AAD0AE6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t>1. Purpose &amp; Legal Mandate</w:t>
      </w:r>
    </w:p>
    <w:p w14:paraId="42B05196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>This policy establishes a standardized framework for detecting, containing, and reporting cybersecurity incidents involving Protected Health Information (PHI) and Personally Identifiable Information (PII) across Mobihealth’s global telehealth infrastructure.</w:t>
      </w:r>
    </w:p>
    <w:p w14:paraId="6DA245D5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Processing operations must strictly comply with statutory breach notification timelines under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HIPAA (US)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, the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Nigeria Data Protection Act (NDPA 2023)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, and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UK GDPR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.</w:t>
      </w:r>
    </w:p>
    <w:p w14:paraId="653C448E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</w:p>
    <w:p w14:paraId="6F117B2B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</w:p>
    <w:p w14:paraId="641F01B2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t>2. Incident Classification &amp; Severity Matrix</w:t>
      </w:r>
    </w:p>
    <w:p w14:paraId="7C1FC0FA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>Security events are categorized into four severity levels upon initial triage:</w:t>
      </w:r>
    </w:p>
    <w:tbl>
      <w:tblPr>
        <w:tblStyle w:val="6"/>
        <w:tblW w:w="11612" w:type="dxa"/>
        <w:tblCellSpacing w:w="15" w:type="dxa"/>
        <w:tblInd w:w="-1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7"/>
        <w:gridCol w:w="3613"/>
        <w:gridCol w:w="2301"/>
        <w:gridCol w:w="3831"/>
      </w:tblGrid>
      <w:tr w14:paraId="4E05C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22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6BCA2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center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10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lang w:val="en-US" w:eastAsia="zh-CN" w:bidi="ar"/>
              </w:rPr>
              <w:t>Severity Level</w:t>
            </w:r>
          </w:p>
        </w:tc>
        <w:tc>
          <w:tcPr>
            <w:tcW w:w="358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C14AA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center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10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lang w:val="en-US" w:eastAsia="zh-CN" w:bidi="ar"/>
              </w:rPr>
              <w:t>Definition &amp; Criteria</w:t>
            </w:r>
          </w:p>
        </w:tc>
        <w:tc>
          <w:tcPr>
            <w:tcW w:w="2271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731C1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center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10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lang w:val="en-US" w:eastAsia="zh-CN" w:bidi="ar"/>
              </w:rPr>
              <w:t>Target Containment</w:t>
            </w:r>
          </w:p>
        </w:tc>
        <w:tc>
          <w:tcPr>
            <w:tcW w:w="378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9A603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center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</w:pPr>
            <w:r>
              <w:rPr>
                <w:rStyle w:val="10"/>
                <w:rFonts w:hint="default" w:ascii="Sitka Small Semibold" w:hAnsi="Sitka Small Semibold" w:eastAsia="sans-serif" w:cs="Sitka Small Semibold"/>
                <w:color w:val="2E54A1" w:themeColor="accent1" w:themeShade="BF"/>
                <w:kern w:val="0"/>
                <w:sz w:val="28"/>
                <w:szCs w:val="28"/>
                <w:lang w:val="en-US" w:eastAsia="zh-CN" w:bidi="ar"/>
              </w:rPr>
              <w:t>Escalation Path</w:t>
            </w:r>
          </w:p>
        </w:tc>
      </w:tr>
      <w:tr w14:paraId="05EBF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2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29CA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F000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F0000"/>
                <w:kern w:val="0"/>
                <w:sz w:val="28"/>
                <w:szCs w:val="28"/>
                <w:lang w:val="en-US" w:eastAsia="zh-CN" w:bidi="ar"/>
              </w:rPr>
              <w:t>P1: Critical</w:t>
            </w:r>
          </w:p>
        </w:tc>
        <w:tc>
          <w:tcPr>
            <w:tcW w:w="358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07DB3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F000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F0000"/>
                <w:kern w:val="0"/>
                <w:sz w:val="28"/>
                <w:szCs w:val="28"/>
                <w:lang w:val="en-US" w:eastAsia="zh-CN" w:bidi="ar"/>
              </w:rPr>
              <w:t>Confirmed breach of EMR PHI database, active intercept of teleconsultation streams, or ransomware paralyzing telehealth portals.</w:t>
            </w:r>
          </w:p>
        </w:tc>
        <w:tc>
          <w:tcPr>
            <w:tcW w:w="2271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C11E2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center"/>
              <w:rPr>
                <w:rFonts w:hint="default" w:ascii="Sitka Small Semibold" w:hAnsi="Sitka Small Semibold" w:eastAsia="sans-serif" w:cs="Sitka Small Semibold"/>
                <w:color w:val="FF0000"/>
                <w:sz w:val="28"/>
                <w:szCs w:val="28"/>
                <w:lang w:val="en-US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FF0000"/>
                <w:kern w:val="0"/>
                <w:sz w:val="32"/>
                <w:szCs w:val="32"/>
                <w:lang w:val="en-US" w:eastAsia="zh-CN" w:bidi="ar"/>
              </w:rPr>
              <w:t>≤</w:t>
            </w: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FF0000"/>
                <w:kern w:val="0"/>
                <w:sz w:val="32"/>
                <w:szCs w:val="32"/>
                <w:lang w:val="en-US" w:eastAsia="zh-CN" w:bidi="ar"/>
              </w:rPr>
              <w:t xml:space="preserve"> 1 hour</w:t>
            </w:r>
          </w:p>
        </w:tc>
        <w:tc>
          <w:tcPr>
            <w:tcW w:w="378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1DC32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FF0000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FF0000"/>
                <w:kern w:val="0"/>
                <w:sz w:val="28"/>
                <w:szCs w:val="28"/>
                <w:lang w:val="en-US" w:eastAsia="zh-CN" w:bidi="ar"/>
              </w:rPr>
              <w:t>Immediate notification to CISO, DPO, CEO, Board, and Legal Counsel.</w:t>
            </w:r>
          </w:p>
        </w:tc>
      </w:tr>
      <w:tr w14:paraId="75300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2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74966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81D31" w:themeColor="accent6" w:themeShade="BF"/>
                <w:kern w:val="0"/>
                <w:sz w:val="28"/>
                <w:szCs w:val="28"/>
                <w:lang w:val="en-US" w:eastAsia="zh-CN" w:bidi="ar"/>
              </w:rPr>
              <w:t>P2: High</w:t>
            </w:r>
          </w:p>
        </w:tc>
        <w:tc>
          <w:tcPr>
            <w:tcW w:w="358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04D4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kern w:val="0"/>
                <w:sz w:val="28"/>
                <w:szCs w:val="28"/>
                <w:lang w:val="en-US" w:eastAsia="zh-CN" w:bidi="ar"/>
              </w:rPr>
              <w:t>Loss of satellite/solar telemetry at remote Hope Clinics or unauthorized administrative account access without confirmed data exfiltration.</w:t>
            </w:r>
          </w:p>
        </w:tc>
        <w:tc>
          <w:tcPr>
            <w:tcW w:w="2271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1517D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center"/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sz w:val="28"/>
                <w:szCs w:val="28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C81D31" w:themeColor="accent6" w:themeShade="BF"/>
                <w:kern w:val="0"/>
                <w:sz w:val="32"/>
                <w:szCs w:val="32"/>
                <w:lang w:val="en-US" w:eastAsia="zh-CN" w:bidi="ar"/>
              </w:rPr>
              <w:t>≤</w:t>
            </w: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81D31" w:themeColor="accent6" w:themeShade="BF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81D31" w:themeColor="accent6" w:themeShade="BF"/>
                <w:kern w:val="0"/>
                <w:sz w:val="32"/>
                <w:szCs w:val="32"/>
                <w:lang w:val="en-US" w:eastAsia="zh-CN" w:bidi="ar"/>
              </w:rPr>
              <w:t>4 hours</w:t>
            </w:r>
          </w:p>
        </w:tc>
        <w:tc>
          <w:tcPr>
            <w:tcW w:w="378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9630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C81D31" w:themeColor="accent6" w:themeShade="BF"/>
                <w:kern w:val="0"/>
                <w:sz w:val="28"/>
                <w:szCs w:val="28"/>
                <w:lang w:val="en-US" w:eastAsia="zh-CN" w:bidi="ar"/>
              </w:rPr>
              <w:t>Escalation to CISO, Lead IR Manager, and Infrastructure Lead.</w:t>
            </w:r>
          </w:p>
        </w:tc>
      </w:tr>
      <w:tr w14:paraId="48FE4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2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E4234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65F10" w:themeColor="accent2" w:themeShade="BF"/>
                <w:kern w:val="0"/>
                <w:sz w:val="28"/>
                <w:szCs w:val="28"/>
                <w:lang w:val="en-US" w:eastAsia="zh-CN" w:bidi="ar"/>
              </w:rPr>
              <w:t>P3: Medium</w:t>
            </w:r>
          </w:p>
        </w:tc>
        <w:tc>
          <w:tcPr>
            <w:tcW w:w="358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EA43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kern w:val="0"/>
                <w:sz w:val="28"/>
                <w:szCs w:val="28"/>
                <w:lang w:val="en-US" w:eastAsia="zh-CN" w:bidi="ar"/>
              </w:rPr>
              <w:t>Isolated malware detection on a staff workstation or localized DDoS attempt mitigated by web application firewall (WAF).</w:t>
            </w:r>
          </w:p>
        </w:tc>
        <w:tc>
          <w:tcPr>
            <w:tcW w:w="2271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6C0CC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center"/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sz w:val="28"/>
                <w:szCs w:val="28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C65F10" w:themeColor="accent2" w:themeShade="BF"/>
                <w:kern w:val="0"/>
                <w:sz w:val="32"/>
                <w:szCs w:val="32"/>
                <w:lang w:val="en-US" w:eastAsia="zh-CN" w:bidi="ar"/>
              </w:rPr>
              <w:t>≤</w:t>
            </w: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65F10" w:themeColor="accent2" w:themeShade="BF"/>
                <w:kern w:val="0"/>
                <w:sz w:val="32"/>
                <w:szCs w:val="32"/>
                <w:lang w:val="en-US" w:eastAsia="zh-CN" w:bidi="ar"/>
              </w:rPr>
              <w:t xml:space="preserve"> </w:t>
            </w: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C65F10" w:themeColor="accent2" w:themeShade="BF"/>
                <w:kern w:val="0"/>
                <w:sz w:val="32"/>
                <w:szCs w:val="32"/>
                <w:lang w:val="en-US" w:eastAsia="zh-CN" w:bidi="ar"/>
              </w:rPr>
              <w:t>24 hours</w:t>
            </w:r>
          </w:p>
        </w:tc>
        <w:tc>
          <w:tcPr>
            <w:tcW w:w="378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0776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sz w:val="28"/>
                <w:szCs w:val="28"/>
              </w:rPr>
            </w:pPr>
            <w:r>
              <w:rPr>
                <w:rFonts w:hint="default" w:ascii="Sitka Small Semibold" w:hAnsi="Sitka Small Semibold" w:eastAsia="sans-serif" w:cs="Sitka Small Semibold"/>
                <w:color w:val="C65F10" w:themeColor="accent2" w:themeShade="BF"/>
                <w:kern w:val="0"/>
                <w:sz w:val="28"/>
                <w:szCs w:val="28"/>
                <w:lang w:val="en-US" w:eastAsia="zh-CN" w:bidi="ar"/>
              </w:rPr>
              <w:t>Handled by SOC Manager and System Administrators.</w:t>
            </w:r>
          </w:p>
        </w:tc>
      </w:tr>
      <w:tr w14:paraId="58849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2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EBC9E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E822F" w:themeColor="accent2"/>
                <w:sz w:val="28"/>
                <w:szCs w:val="28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EE822F" w:themeColor="accent2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accent2"/>
                  </w14:solidFill>
                </w14:textFill>
              </w:rPr>
              <w:t>P4: Low</w:t>
            </w:r>
          </w:p>
        </w:tc>
        <w:tc>
          <w:tcPr>
            <w:tcW w:w="3583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684C2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E822F" w:themeColor="accent2"/>
                <w:sz w:val="28"/>
                <w:szCs w:val="28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default" w:ascii="Sitka Small Semibold" w:hAnsi="Sitka Small Semibold" w:eastAsia="sans-serif" w:cs="Sitka Small Semibold"/>
                <w:color w:val="EE822F" w:themeColor="accent2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accent2"/>
                  </w14:solidFill>
                </w14:textFill>
              </w:rPr>
              <w:t>Suspicious phishing email report or minor automated vulnerability scan event.</w:t>
            </w:r>
          </w:p>
        </w:tc>
        <w:tc>
          <w:tcPr>
            <w:tcW w:w="2271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A238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center"/>
              <w:rPr>
                <w:rFonts w:hint="default" w:ascii="Sitka Small Semibold" w:hAnsi="Sitka Small Semibold" w:eastAsia="sans-serif" w:cs="Sitka Small Semibold"/>
                <w:color w:val="EE822F" w:themeColor="accent2"/>
                <w:sz w:val="28"/>
                <w:szCs w:val="28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EE822F" w:themeColor="accent2"/>
                <w:kern w:val="0"/>
                <w:sz w:val="32"/>
                <w:szCs w:val="32"/>
                <w:lang w:val="en-US" w:eastAsia="zh-CN" w:bidi="ar"/>
                <w14:textFill>
                  <w14:solidFill>
                    <w14:schemeClr w14:val="accent2"/>
                  </w14:solidFill>
                </w14:textFill>
              </w:rPr>
              <w:t>≤</w:t>
            </w: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EE822F" w:themeColor="accent2"/>
                <w:kern w:val="0"/>
                <w:sz w:val="32"/>
                <w:szCs w:val="32"/>
                <w:lang w:val="en-US" w:eastAsia="zh-CN" w:bidi="ar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default" w:ascii="Sitka Small Semibold" w:hAnsi="Sitka Small Semibold" w:eastAsia="sans-serif" w:cs="Sitka Small Semibold"/>
                <w:b/>
                <w:bCs/>
                <w:color w:val="EE822F" w:themeColor="accent2"/>
                <w:kern w:val="0"/>
                <w:sz w:val="32"/>
                <w:szCs w:val="32"/>
                <w:lang w:val="en-US" w:eastAsia="zh-CN" w:bidi="ar"/>
                <w14:textFill>
                  <w14:solidFill>
                    <w14:schemeClr w14:val="accent2"/>
                  </w14:solidFill>
                </w14:textFill>
              </w:rPr>
              <w:t>72 hours</w:t>
            </w:r>
          </w:p>
        </w:tc>
        <w:tc>
          <w:tcPr>
            <w:tcW w:w="3786" w:type="dxa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F24D5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Sitka Small Semibold" w:hAnsi="Sitka Small Semibold" w:eastAsia="sans-serif" w:cs="Sitka Small Semibold"/>
                <w:color w:val="EE822F" w:themeColor="accent2"/>
                <w:sz w:val="28"/>
                <w:szCs w:val="28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default" w:ascii="Sitka Small Semibold" w:hAnsi="Sitka Small Semibold" w:eastAsia="sans-serif" w:cs="Sitka Small Semibold"/>
                <w:color w:val="EE822F" w:themeColor="accent2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accent2"/>
                  </w14:solidFill>
                </w14:textFill>
              </w:rPr>
              <w:t>Handled by Tier-1 Security Analysts.</w:t>
            </w:r>
          </w:p>
        </w:tc>
      </w:tr>
    </w:tbl>
    <w:p w14:paraId="7ED22A8E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</w:p>
    <w:p w14:paraId="59D5BD9F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</w:p>
    <w:p w14:paraId="2C38E443">
      <w:pPr>
        <w:pStyle w:val="4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</w:pPr>
      <w:r>
        <w:rPr>
          <w:rFonts w:hint="default" w:ascii="Sitka Small Semibold" w:hAnsi="Sitka Small Semibold" w:eastAsia="sans-serif" w:cs="Sitka Small Semibold"/>
          <w:color w:val="2E54A1" w:themeColor="accent1" w:themeShade="BF"/>
          <w:sz w:val="36"/>
          <w:szCs w:val="36"/>
        </w:rPr>
        <w:t>3. Statutory Breach Notification Timelines</w:t>
      </w:r>
    </w:p>
    <w:p w14:paraId="65984B2B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  <w:vertAlign w:val="baseline"/>
        </w:rPr>
      </w:pPr>
      <w:r>
        <w:rPr>
          <w:rFonts w:hint="default" w:ascii="Sitka Small Semibold" w:hAnsi="Sitka Small Semibold" w:eastAsia="sans-serif" w:cs="Sitka Small Semibold"/>
          <w:sz w:val="28"/>
          <w:szCs w:val="28"/>
        </w:rPr>
        <w:t>When an incident results in confirmed or suspected unauthorized access to PHI/PII, the Data Protection Officer (DPO) must execute statutory notifications according to the strictest applicable jurisdiction: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EC53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522" w:type="dxa"/>
            <w:gridSpan w:val="3"/>
            <w:vAlign w:val="top"/>
          </w:tcPr>
          <w:p w14:paraId="1EB54268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center"/>
              <w:rPr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color w:val="2E54A1" w:themeColor="accent1" w:themeShade="BF"/>
                <w:sz w:val="28"/>
                <w:szCs w:val="28"/>
              </w:rPr>
              <w:t>INCIDENT CONFIRMED</w:t>
            </w:r>
          </w:p>
        </w:tc>
      </w:tr>
      <w:tr w14:paraId="5B356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840" w:type="dxa"/>
          </w:tcPr>
          <w:p w14:paraId="461BB27E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line="12" w:lineRule="atLeas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  <w:vertAlign w:val="baseline"/>
              </w:rPr>
            </w:pPr>
            <w:r>
              <w:rPr>
                <w:rStyle w:val="7"/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  <w:t>NDPC (Nigeria)</w:t>
            </w:r>
            <w:r>
              <w:rPr>
                <w:rStyle w:val="7"/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</w:rPr>
              <w:br w:type="textWrapping"/>
            </w:r>
            <w:r>
              <w:rPr>
                <w:rFonts w:hint="default" w:ascii="Sitka Small Semibold" w:hAnsi="Sitka Small Semibold" w:eastAsia="SimSun" w:cs="Sitka Small Semibold"/>
                <w:color w:val="851321" w:themeColor="accent6" w:themeShade="80"/>
                <w:sz w:val="24"/>
                <w:szCs w:val="24"/>
              </w:rPr>
              <w:t>Max Window: 72 Hours</w:t>
            </w:r>
            <w:r>
              <w:rPr>
                <w:rFonts w:hint="default" w:ascii="Sitka Small Semibold" w:hAnsi="Sitka Small Semibold" w:eastAsia="SimSun" w:cs="Sitka Small Semibold"/>
                <w:color w:val="851321" w:themeColor="accent6" w:themeShade="80"/>
                <w:sz w:val="24"/>
                <w:szCs w:val="24"/>
              </w:rPr>
              <w:br w:type="textWrapping"/>
            </w:r>
            <w:r>
              <w:rPr>
                <w:rFonts w:hint="default" w:ascii="Sitka Small Semibold" w:hAnsi="Sitka Small Semibold" w:eastAsia="SimSun" w:cs="Sitka Small Semibold"/>
                <w:color w:val="851321" w:themeColor="accent6" w:themeShade="80"/>
                <w:sz w:val="24"/>
                <w:szCs w:val="24"/>
              </w:rPr>
              <w:t>(NDPA Section 40)</w:t>
            </w:r>
          </w:p>
        </w:tc>
        <w:tc>
          <w:tcPr>
            <w:tcW w:w="2841" w:type="dxa"/>
          </w:tcPr>
          <w:p w14:paraId="4B119ACD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line="12" w:lineRule="atLeas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  <w:vertAlign w:val="baseline"/>
              </w:rPr>
            </w:pPr>
            <w:r>
              <w:rPr>
                <w:rFonts w:hint="default" w:ascii="Sitka Small Semibold" w:hAnsi="Sitka Small Semibold" w:eastAsia="SimSun" w:cs="Sitka Small Semibold"/>
                <w:color w:val="851321" w:themeColor="accent6" w:themeShade="80"/>
                <w:sz w:val="24"/>
                <w:szCs w:val="24"/>
              </w:rPr>
              <w:t>UK ICO (UK GDPR)</w:t>
            </w:r>
            <w:r>
              <w:rPr>
                <w:rFonts w:hint="default" w:ascii="Sitka Small Semibold" w:hAnsi="Sitka Small Semibold" w:eastAsia="SimSun" w:cs="Sitka Small Semibold"/>
                <w:color w:val="851321" w:themeColor="accent6" w:themeShade="80"/>
                <w:sz w:val="24"/>
                <w:szCs w:val="24"/>
              </w:rPr>
              <w:br w:type="textWrapping"/>
            </w:r>
            <w:r>
              <w:rPr>
                <w:rFonts w:hint="default" w:ascii="Sitka Small Semibold" w:hAnsi="Sitka Small Semibold" w:eastAsia="SimSun" w:cs="Sitka Small Semibold"/>
                <w:color w:val="851321" w:themeColor="accent6" w:themeShade="80"/>
                <w:sz w:val="24"/>
                <w:szCs w:val="24"/>
              </w:rPr>
              <w:t>Max Window: 72 Hours</w:t>
            </w:r>
            <w:r>
              <w:rPr>
                <w:rFonts w:hint="default" w:ascii="Sitka Small Semibold" w:hAnsi="Sitka Small Semibold" w:eastAsia="SimSun" w:cs="Sitka Small Semibold"/>
                <w:color w:val="851321" w:themeColor="accent6" w:themeShade="80"/>
                <w:sz w:val="24"/>
                <w:szCs w:val="24"/>
              </w:rPr>
              <w:br w:type="textWrapping"/>
            </w:r>
            <w:r>
              <w:rPr>
                <w:rFonts w:hint="default" w:ascii="Sitka Small Semibold" w:hAnsi="Sitka Small Semibold" w:eastAsia="SimSun" w:cs="Sitka Small Semibold"/>
                <w:color w:val="851321" w:themeColor="accent6" w:themeShade="80"/>
                <w:sz w:val="24"/>
                <w:szCs w:val="24"/>
              </w:rPr>
              <w:t>(Article 33)</w:t>
            </w:r>
          </w:p>
        </w:tc>
        <w:tc>
          <w:tcPr>
            <w:tcW w:w="2841" w:type="dxa"/>
          </w:tcPr>
          <w:p w14:paraId="74F19AEC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line="12" w:lineRule="atLeast"/>
              <w:rPr>
                <w:rFonts w:hint="default" w:ascii="Sitka Small Semibold" w:hAnsi="Sitka Small Semibold" w:eastAsia="sans-serif" w:cs="Sitka Small Semibold"/>
                <w:color w:val="851321" w:themeColor="accent6" w:themeShade="80"/>
                <w:sz w:val="28"/>
                <w:szCs w:val="28"/>
                <w:vertAlign w:val="baseline"/>
              </w:rPr>
            </w:pPr>
            <w:r>
              <w:rPr>
                <w:rFonts w:hint="default" w:ascii="Sitka Small Semibold" w:hAnsi="Sitka Small Semibold" w:eastAsia="SimSun" w:cs="Sitka Small Semibold"/>
                <w:color w:val="851321" w:themeColor="accent6" w:themeShade="80"/>
                <w:sz w:val="24"/>
                <w:szCs w:val="24"/>
              </w:rPr>
              <w:t>US HHS (HIPAA)</w:t>
            </w:r>
            <w:r>
              <w:rPr>
                <w:rFonts w:hint="default" w:ascii="Sitka Small Semibold" w:hAnsi="Sitka Small Semibold" w:eastAsia="SimSun" w:cs="Sitka Small Semibold"/>
                <w:color w:val="851321" w:themeColor="accent6" w:themeShade="80"/>
                <w:sz w:val="24"/>
                <w:szCs w:val="24"/>
              </w:rPr>
              <w:br w:type="textWrapping"/>
            </w:r>
            <w:r>
              <w:rPr>
                <w:rFonts w:hint="default" w:ascii="Sitka Small Semibold" w:hAnsi="Sitka Small Semibold" w:eastAsia="SimSun" w:cs="Sitka Small Semibold"/>
                <w:color w:val="851321" w:themeColor="accent6" w:themeShade="80"/>
                <w:sz w:val="24"/>
                <w:szCs w:val="24"/>
              </w:rPr>
              <w:t>Max Window: 60 Days</w:t>
            </w:r>
            <w:r>
              <w:rPr>
                <w:rFonts w:hint="default" w:ascii="Sitka Small Semibold" w:hAnsi="Sitka Small Semibold" w:eastAsia="SimSun" w:cs="Sitka Small Semibold"/>
                <w:color w:val="851321" w:themeColor="accent6" w:themeShade="80"/>
                <w:sz w:val="24"/>
                <w:szCs w:val="24"/>
              </w:rPr>
              <w:br w:type="textWrapping"/>
            </w:r>
            <w:r>
              <w:rPr>
                <w:rFonts w:hint="default" w:ascii="Sitka Small Semibold" w:hAnsi="Sitka Small Semibold" w:eastAsia="SimSun" w:cs="Sitka Small Semibold"/>
                <w:color w:val="851321" w:themeColor="accent6" w:themeShade="80"/>
                <w:sz w:val="24"/>
                <w:szCs w:val="24"/>
              </w:rPr>
              <w:t>(Breach Notification Rule)</w:t>
            </w:r>
          </w:p>
        </w:tc>
      </w:tr>
    </w:tbl>
    <w:p w14:paraId="784027BD">
      <w:pPr>
        <w:pStyle w:val="8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Style w:val="7"/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  <w:r>
        <w:rPr>
          <w:rStyle w:val="7"/>
          <w:rFonts w:hint="default" w:ascii="Sitka Small Semibold" w:hAnsi="Sitka Small Semibold" w:eastAsia="sans-serif" w:cs="Sitka Small Semibold"/>
          <w:sz w:val="28"/>
          <w:szCs w:val="28"/>
        </w:rPr>
        <w:t xml:space="preserve">                           </w:t>
      </w:r>
    </w:p>
    <w:p w14:paraId="2D3970B3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leftChars="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Nigeria Data Protection Commission (NDPC):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Formal notification within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72 hours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of becoming aware of a breach affecting Nigerian data subjects (NDPA Sec. 40).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7322E953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leftChars="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UK Information Commissioner's Office (ICO):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Formal notification within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72 hours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of becoming aware of a high-risk data breach (UK GDPR Art. 33).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br w:type="textWrapping"/>
      </w:r>
    </w:p>
    <w:p w14:paraId="3F1DEE7B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leftChars="0"/>
        <w:rPr>
          <w:rFonts w:hint="default" w:ascii="Sitka Small Semibold" w:hAnsi="Sitka Small Semibold" w:eastAsia="sans-serif" w:cs="Sitka Small Semibold"/>
          <w:sz w:val="28"/>
          <w:szCs w:val="28"/>
        </w:rPr>
      </w:pPr>
      <w:r>
        <w:rPr>
          <w:rFonts w:hint="eastAsia" w:ascii="SimSun" w:hAnsi="SimSun" w:eastAsia="SimSun" w:cs="SimSun"/>
          <w:b/>
          <w:bCs/>
          <w:color w:val="0070C0"/>
          <w:sz w:val="28"/>
          <w:szCs w:val="28"/>
        </w:rPr>
        <w:t>◎</w:t>
      </w:r>
      <w:r>
        <w:rPr>
          <w:rFonts w:hint="default" w:ascii="SimSun" w:hAnsi="SimSun" w:eastAsia="SimSun" w:cs="SimSu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b/>
          <w:bCs/>
          <w:color w:val="0070C0"/>
          <w:sz w:val="28"/>
          <w:szCs w:val="28"/>
        </w:rPr>
        <w:t>US Dept. of Health &amp; Human Services (HHS):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Notification without unreasonable delay and no later than </w:t>
      </w:r>
      <w:r>
        <w:rPr>
          <w:rFonts w:hint="default" w:ascii="Sitka Small Semibold" w:hAnsi="Sitka Small Semibold" w:eastAsia="sans-serif" w:cs="Sitka Small Semibold"/>
          <w:b/>
          <w:bCs/>
          <w:sz w:val="28"/>
          <w:szCs w:val="28"/>
        </w:rPr>
        <w:t>60 calendar days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 from discovery for breaches affecting </w:t>
      </w:r>
      <w:r>
        <w:rPr>
          <w:rFonts w:hint="default" w:ascii="Sitka Small Semibold" w:hAnsi="Sitka Small Semibold" w:eastAsia="sans-serif" w:cs="Sitka Small Semibold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 xml:space="preserve">≥ 500$ US residents. If a breach affects </w:t>
      </w:r>
      <w:r>
        <w:rPr>
          <w:rFonts w:hint="default" w:ascii="Sitka Small Semibold" w:hAnsi="Sitka Small Semibold" w:eastAsia="sans-serif" w:cs="Sitka Small Semibold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≥</w:t>
      </w:r>
      <w:r>
        <w:rPr>
          <w:rFonts w:hint="default" w:ascii="Sitka Small Semibold" w:hAnsi="Sitka Small Semibold" w:eastAsia="sans-serif" w:cs="Sitka Small Semibold"/>
          <w:sz w:val="28"/>
          <w:szCs w:val="28"/>
          <w:lang w:val="en-US"/>
        </w:rPr>
        <w:t xml:space="preserve"> </w:t>
      </w:r>
      <w:r>
        <w:rPr>
          <w:rFonts w:hint="default" w:ascii="Sitka Small Semibold" w:hAnsi="Sitka Small Semibold" w:eastAsia="sans-serif" w:cs="Sitka Small Semibold"/>
          <w:sz w:val="28"/>
          <w:szCs w:val="28"/>
        </w:rPr>
        <w:t>500$ individuals in a single state/jurisdiction, local media outlets must also be notified within 60 days.</w:t>
      </w:r>
    </w:p>
    <w:p w14:paraId="44531537">
      <w:pPr>
        <w:pStyle w:val="9"/>
        <w:keepNext w:val="0"/>
        <w:keepLines w:val="0"/>
        <w:widowControl/>
        <w:suppressLineNumbers w:val="0"/>
        <w:spacing w:before="0" w:beforeAutospacing="0" w:line="12" w:lineRule="atLeast"/>
        <w:ind w:left="0" w:leftChars="0"/>
        <w:rPr>
          <w:rFonts w:hint="default" w:ascii="Sitka Small Semibold" w:hAnsi="Sitka Small Semibold" w:eastAsia="sans-serif" w:cs="Sitka Small Semibold"/>
          <w:sz w:val="28"/>
          <w:szCs w:val="28"/>
        </w:rPr>
      </w:pPr>
    </w:p>
    <w:p w14:paraId="678EEDA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16A2D"/>
    <w:rsid w:val="5A1B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table" w:styleId="11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472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2026-08-04T12:11:00Z</dcterms:created>
  <dc:creator>User</dc:creator>
  <cp:lastModifiedBy>Divine E. SMART</cp:lastModifiedBy>
  <dcterms:modified xsi:type="dcterms:W3CDTF">2026-08-04T20:34:10Z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eyJoZGlkIjoiNjZhOTVlY2ZhZDVlZDE0YTBmOTJhYTIwNzAyZjc4Y2MiLCJ1c2VySWQiOiIxNjY3MDc4MDUzMTUwIn0=</vt:lpwstr>
  </property>
  <property fmtid="{D5CDD505-2E9C-101B-9397-08002B2CF9AE}" pid="4" name="ICV">
    <vt:lpwstr>D8C7C659FC2C408B88B4FA3A362245CC_12</vt:lpwstr>
  </property>
</Properties>
</file>