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289CA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Sitka Small Semibold" w:hAnsi="Sitka Small Semibold" w:eastAsia="sans-serif" w:cs="Sitka Small Semibold"/>
        </w:rPr>
      </w:pPr>
      <w:r>
        <w:rPr>
          <w:rFonts w:hint="default" w:ascii="Sitka Small Semibold" w:hAnsi="Sitka Small Semibold" w:eastAsia="sans-serif" w:cs="Sitka Small Semibold"/>
        </w:rPr>
        <w:br w:type="textWrapping"/>
      </w: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44"/>
          <w:szCs w:val="44"/>
        </w:rPr>
        <w:t>Operational Standard Operating Procedure (SOP)</w:t>
      </w:r>
    </w:p>
    <w:p w14:paraId="56ABEB1E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Style w:val="6"/>
          <w:rFonts w:hint="default" w:ascii="Sitka Small Semibold" w:hAnsi="Sitka Small Semibold" w:eastAsia="sans-serif" w:cs="Sitka Small Semibold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6"/>
          <w:rFonts w:hint="default" w:ascii="Sitka Small Semibold" w:hAnsi="Sitka Small Semibold" w:eastAsia="sans-serif" w:cs="Sitka Small Semibold"/>
          <w:color w:val="2E54A1" w:themeColor="accent1" w:themeShade="BF"/>
          <w:kern w:val="0"/>
          <w:sz w:val="36"/>
          <w:szCs w:val="36"/>
          <w:lang w:val="en-US" w:eastAsia="zh-CN" w:bidi="ar"/>
        </w:rPr>
        <w:t>1.  Step 1: Submission of Policy Exception Request</w:t>
      </w:r>
      <w:r>
        <w:rPr>
          <w:rStyle w:val="6"/>
          <w:rFonts w:hint="default" w:ascii="Sitka Small Semibold" w:hAnsi="Sitka Small Semibold" w:eastAsia="sans-serif" w:cs="Sitka Small Semibold"/>
          <w:kern w:val="0"/>
          <w:sz w:val="36"/>
          <w:szCs w:val="36"/>
          <w:lang w:val="en-US" w:eastAsia="zh-CN" w:bidi="ar"/>
        </w:rPr>
        <w:br w:type="textWrapping"/>
      </w:r>
      <w:r>
        <w:rPr>
          <w:rFonts w:hint="default" w:ascii="Sitka Small Semibold" w:hAnsi="Sitka Small Semibold" w:eastAsia="sans-serif" w:cs="Sitka Small Semibold"/>
          <w:i/>
          <w:iCs/>
          <w:kern w:val="0"/>
          <w:sz w:val="24"/>
          <w:szCs w:val="24"/>
          <w:lang w:val="en-US" w:eastAsia="zh-CN" w:bidi="ar"/>
        </w:rPr>
        <w:t>Formally log the request.</w:t>
      </w:r>
      <w:r>
        <w:rPr>
          <w:rFonts w:hint="default" w:ascii="Sitka Small Semibold" w:hAnsi="Sitka Small Semibold" w:eastAsia="sans-serif" w:cs="Sitka Small Semibold"/>
          <w:kern w:val="0"/>
          <w:sz w:val="36"/>
          <w:szCs w:val="36"/>
          <w:lang w:val="en-US" w:eastAsia="zh-CN" w:bidi="ar"/>
        </w:rPr>
        <w:br w:type="textWrapping"/>
      </w:r>
      <w:bookmarkStart w:id="0" w:name="_GoBack"/>
      <w:bookmarkEnd w:id="0"/>
    </w:p>
    <w:p w14:paraId="6A4B1FC7">
      <w:pPr>
        <w:pStyle w:val="5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The business unit lead or engineer submits a formal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Policy Exception Form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via the internal GRC portal. The request must detail the specific control being bypassed, the business justification, affected assets, and the requested duration (maximum 90 days).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3F61B4C2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jc w:val="lef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Style w:val="6"/>
          <w:rFonts w:hint="default" w:ascii="Sitka Small Semibold" w:hAnsi="Sitka Small Semibold" w:eastAsia="sans-serif" w:cs="Sitka Small Semibold"/>
          <w:color w:val="2E54A1" w:themeColor="accent1" w:themeShade="BF"/>
          <w:kern w:val="0"/>
          <w:sz w:val="36"/>
          <w:szCs w:val="36"/>
          <w:lang w:val="en-US" w:eastAsia="zh-CN" w:bidi="ar"/>
        </w:rPr>
        <w:t>2.  Step 2: Risk Assessment &amp; Technical Review</w:t>
      </w:r>
      <w:r>
        <w:rPr>
          <w:rStyle w:val="6"/>
          <w:rFonts w:hint="default" w:ascii="Sitka Small Semibold" w:hAnsi="Sitka Small Semibold" w:eastAsia="sans-serif" w:cs="Sitka Small Semibold"/>
          <w:color w:val="2E54A1" w:themeColor="accent1" w:themeShade="BF"/>
          <w:kern w:val="0"/>
          <w:sz w:val="36"/>
          <w:szCs w:val="36"/>
          <w:lang w:val="en-US" w:eastAsia="zh-CN" w:bidi="ar"/>
        </w:rPr>
        <w:br w:type="textWrapping"/>
      </w:r>
      <w:r>
        <w:rPr>
          <w:rFonts w:hint="default" w:ascii="Sitka Small Semibold" w:hAnsi="Sitka Small Semibold" w:eastAsia="sans-serif" w:cs="Sitka Small Semibold"/>
          <w:i/>
          <w:iCs/>
          <w:color w:val="auto"/>
          <w:kern w:val="0"/>
          <w:sz w:val="24"/>
          <w:szCs w:val="24"/>
          <w:lang w:val="en-US" w:eastAsia="zh-CN" w:bidi="ar"/>
        </w:rPr>
        <w:t>Analyze residual exposure.</w:t>
      </w:r>
      <w:r>
        <w:rPr>
          <w:rFonts w:hint="default" w:ascii="Sitka Small Semibold" w:hAnsi="Sitka Small Semibold" w:eastAsia="sans-serif" w:cs="Sitka Small Semibold"/>
          <w:kern w:val="0"/>
          <w:sz w:val="28"/>
          <w:szCs w:val="28"/>
          <w:lang w:val="en-US" w:eastAsia="zh-CN" w:bidi="ar"/>
        </w:rPr>
        <w:br w:type="textWrapping"/>
      </w:r>
    </w:p>
    <w:p w14:paraId="1F895900">
      <w:pPr>
        <w:pStyle w:val="5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The Cyber Risk Team conducts an independent risk evaluation to determine the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Likelihood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and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Impact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of the proposed exception. Compensating controls must be identified (e.g., enabling enhanced logging if MFA cannot be enforced on legacy hardware).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5757BE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jc w:val="left"/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</w:pPr>
      <w:r>
        <w:rPr>
          <w:rStyle w:val="6"/>
          <w:rFonts w:hint="default" w:ascii="Sitka Small Semibold" w:hAnsi="Sitka Small Semibold" w:eastAsia="sans-serif" w:cs="Sitka Small Semibold"/>
          <w:color w:val="2E54A1" w:themeColor="accent1" w:themeShade="BF"/>
          <w:kern w:val="0"/>
          <w:sz w:val="36"/>
          <w:szCs w:val="36"/>
          <w:lang w:val="en-US" w:eastAsia="zh-CN" w:bidi="ar"/>
        </w:rPr>
        <w:t xml:space="preserve"> Step 3: Approval Authority Routing</w:t>
      </w:r>
      <w:r>
        <w:rPr>
          <w:rStyle w:val="6"/>
          <w:rFonts w:hint="default" w:ascii="Sitka Small Semibold" w:hAnsi="Sitka Small Semibold" w:eastAsia="sans-serif" w:cs="Sitka Small Semibold"/>
          <w:color w:val="2E54A1" w:themeColor="accent1" w:themeShade="BF"/>
          <w:kern w:val="0"/>
          <w:sz w:val="36"/>
          <w:szCs w:val="36"/>
          <w:lang w:val="en-US" w:eastAsia="zh-CN" w:bidi="ar"/>
        </w:rPr>
        <w:br w:type="textWrapping"/>
      </w:r>
      <w:r>
        <w:rPr>
          <w:rFonts w:hint="default" w:ascii="Sitka Small Semibold" w:hAnsi="Sitka Small Semibold" w:eastAsia="sans-serif" w:cs="Sitka Small Semibold"/>
          <w:i/>
          <w:iCs/>
          <w:color w:val="auto"/>
          <w:kern w:val="0"/>
          <w:sz w:val="24"/>
          <w:szCs w:val="24"/>
          <w:lang w:val="en-US" w:eastAsia="zh-CN" w:bidi="ar"/>
        </w:rPr>
        <w:t>Obtain formal sign-off.</w:t>
      </w:r>
      <w:r>
        <w:rPr>
          <w:rFonts w:hint="default" w:ascii="Sitka Small Semibold" w:hAnsi="Sitka Small Semibold" w:eastAsia="sans-serif" w:cs="Sitka Small Semibold"/>
          <w:i/>
          <w:iCs/>
          <w:color w:val="auto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Sitka Small Semibold" w:hAnsi="Sitka Small Semibold" w:eastAsia="sans-serif" w:cs="Sitka Small Semibold"/>
          <w:i/>
          <w:iCs/>
          <w:color w:val="auto"/>
          <w:kern w:val="0"/>
          <w:sz w:val="24"/>
          <w:szCs w:val="24"/>
          <w:lang w:val="en-US" w:eastAsia="zh-CN" w:bidi="ar"/>
        </w:rPr>
        <w:br w:type="textWrapping"/>
      </w:r>
    </w:p>
    <w:p w14:paraId="3C91536A">
      <w:pPr>
        <w:pStyle w:val="5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>Approvals are routed strictly by risk level:</w:t>
      </w:r>
    </w:p>
    <w:p w14:paraId="26F30BDB">
      <w:pPr>
        <w:pStyle w:val="5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720" w:right="0"/>
        <w:rPr>
          <w:rFonts w:hint="default" w:ascii="Sitka Small Semibold" w:hAnsi="Sitka Small Semibold" w:eastAsia="sans-serif" w:cs="Sitka Small Semibold"/>
        </w:rPr>
      </w:pPr>
      <w:r>
        <w:rPr>
          <w:rFonts w:hint="eastAsia" w:ascii="SimSun" w:hAnsi="SimSun" w:eastAsia="SimSun" w:cs="SimSun"/>
          <w:i/>
          <w:iCs/>
          <w:color w:val="4874CB" w:themeColor="accent1"/>
          <w14:textFill>
            <w14:solidFill>
              <w14:schemeClr w14:val="accent1"/>
            </w14:solidFill>
          </w14:textFill>
        </w:rPr>
        <w:t>◎</w:t>
      </w:r>
      <w:r>
        <w:rPr>
          <w:rFonts w:hint="default" w:ascii="SimSun" w:hAnsi="SimSun" w:eastAsia="SimSun" w:cs="SimSun"/>
          <w:i/>
          <w:iCs/>
          <w:color w:val="4874CB" w:themeColor="accent1"/>
          <w:lang w:val="en-US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Sitka Small Semibold" w:hAnsi="Sitka Small Semibold" w:eastAsia="sans-serif" w:cs="Sitka Small Semibold"/>
          <w:i/>
          <w:iCs/>
          <w:color w:val="4874CB" w:themeColor="accent1"/>
          <w14:textFill>
            <w14:solidFill>
              <w14:schemeClr w14:val="accent1"/>
            </w14:solidFill>
          </w14:textFill>
        </w:rPr>
        <w:t>Low / Medium Risk Exceptions:</w:t>
      </w:r>
      <w:r>
        <w:rPr>
          <w:rFonts w:hint="default" w:ascii="Sitka Small Semibold" w:hAnsi="Sitka Small Semibold" w:eastAsia="sans-serif" w:cs="Sitka Small Semibold"/>
        </w:rPr>
        <w:t xml:space="preserve"> Approved by Information Security Manager.</w:t>
      </w:r>
    </w:p>
    <w:p w14:paraId="0F87610D">
      <w:pPr>
        <w:pStyle w:val="5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720" w:right="0"/>
        <w:rPr>
          <w:rFonts w:hint="default" w:ascii="Sitka Small Semibold" w:hAnsi="Sitka Small Semibold" w:eastAsia="sans-serif" w:cs="Sitka Small Semibold"/>
        </w:rPr>
      </w:pPr>
      <w:r>
        <w:rPr>
          <w:rFonts w:hint="eastAsia" w:ascii="SimSun" w:hAnsi="SimSun" w:eastAsia="SimSun" w:cs="SimSun"/>
          <w:i/>
          <w:iCs/>
          <w:color w:val="4874CB" w:themeColor="accent1"/>
          <w14:textFill>
            <w14:solidFill>
              <w14:schemeClr w14:val="accent1"/>
            </w14:solidFill>
          </w14:textFill>
        </w:rPr>
        <w:t>◎</w:t>
      </w:r>
      <w:r>
        <w:rPr>
          <w:rFonts w:hint="default" w:ascii="Sitka Small Semibold" w:hAnsi="Sitka Small Semibold" w:eastAsia="sans-serif" w:cs="Sitka Small Semibold"/>
          <w:i/>
          <w:iCs/>
          <w:color w:val="4874CB" w:themeColor="accent1"/>
          <w:lang w:val="en-US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Sitka Small Semibold" w:hAnsi="Sitka Small Semibold" w:eastAsia="sans-serif" w:cs="Sitka Small Semibold"/>
          <w:i/>
          <w:iCs/>
          <w:color w:val="4874CB" w:themeColor="accent1"/>
          <w14:textFill>
            <w14:solidFill>
              <w14:schemeClr w14:val="accent1"/>
            </w14:solidFill>
          </w14:textFill>
        </w:rPr>
        <w:t>High / Critical Risk Exceptions:</w:t>
      </w:r>
      <w:r>
        <w:rPr>
          <w:rFonts w:hint="default" w:ascii="Sitka Small Semibold" w:hAnsi="Sitka Small Semibold" w:eastAsia="sans-serif" w:cs="Sitka Small Semibold"/>
        </w:rPr>
        <w:t xml:space="preserve"> Require dual sign-off from both the </w:t>
      </w:r>
      <w:r>
        <w:rPr>
          <w:rFonts w:hint="default" w:ascii="Sitka Small Semibold" w:hAnsi="Sitka Small Semibold" w:eastAsia="sans-serif" w:cs="Sitka Small Semibold"/>
          <w:b/>
          <w:bCs/>
        </w:rPr>
        <w:t>CISO</w:t>
      </w:r>
      <w:r>
        <w:rPr>
          <w:rFonts w:hint="default" w:ascii="Sitka Small Semibold" w:hAnsi="Sitka Small Semibold" w:eastAsia="sans-serif" w:cs="Sitka Small Semibold"/>
        </w:rPr>
        <w:t xml:space="preserve"> and the affected </w:t>
      </w:r>
      <w:r>
        <w:rPr>
          <w:rFonts w:hint="default" w:ascii="Sitka Small Semibold" w:hAnsi="Sitka Small Semibold" w:eastAsia="sans-serif" w:cs="Sitka Small Semibold"/>
          <w:b/>
          <w:bCs/>
        </w:rPr>
        <w:t>Business Unit VP</w:t>
      </w:r>
      <w:r>
        <w:rPr>
          <w:rFonts w:hint="default" w:ascii="Sitka Small Semibold" w:hAnsi="Sitka Small Semibold" w:eastAsia="sans-serif" w:cs="Sitka Small Semibold"/>
        </w:rPr>
        <w:t>.</w:t>
      </w:r>
      <w:r>
        <w:rPr>
          <w:rFonts w:hint="default" w:ascii="Sitka Small Semibold" w:hAnsi="Sitka Small Semibold" w:eastAsia="sans-serif" w:cs="Sitka Small Semibold"/>
        </w:rPr>
        <w:br w:type="textWrapping"/>
      </w:r>
    </w:p>
    <w:p w14:paraId="3E78297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Style w:val="6"/>
          <w:rFonts w:hint="default" w:ascii="Sitka Small Semibold" w:hAnsi="Sitka Small Semibold" w:eastAsia="sans-serif" w:cs="Sitka Small Semibold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6"/>
          <w:rFonts w:hint="default" w:ascii="Sitka Small Semibold" w:hAnsi="Sitka Small Semibold" w:eastAsia="sans-serif" w:cs="Sitka Small Semibold"/>
          <w:color w:val="2E54A1" w:themeColor="accent1" w:themeShade="BF"/>
          <w:kern w:val="0"/>
          <w:sz w:val="36"/>
          <w:szCs w:val="36"/>
          <w:lang w:val="en-US" w:eastAsia="zh-CN" w:bidi="ar"/>
        </w:rPr>
        <w:t>4.  Step 4: Central Exception Logging &amp; Monitoring</w:t>
      </w:r>
      <w:r>
        <w:rPr>
          <w:rStyle w:val="6"/>
          <w:rFonts w:hint="default" w:ascii="Sitka Small Semibold" w:hAnsi="Sitka Small Semibold" w:eastAsia="sans-serif" w:cs="Sitka Small Semibold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Sitka Small Semibold" w:hAnsi="Sitka Small Semibold" w:eastAsia="sans-serif" w:cs="Sitka Small Semibold"/>
          <w:i/>
          <w:iCs/>
          <w:kern w:val="0"/>
          <w:sz w:val="24"/>
          <w:szCs w:val="24"/>
          <w:lang w:val="en-US" w:eastAsia="zh-CN" w:bidi="ar"/>
        </w:rPr>
        <w:t>Maintain audit readiness.</w:t>
      </w:r>
      <w:r>
        <w:rPr>
          <w:rFonts w:hint="default" w:ascii="Sitka Small Semibold" w:hAnsi="Sitka Small Semibold" w:eastAsia="sans-serif" w:cs="Sitka Small Semibold"/>
          <w:kern w:val="0"/>
          <w:sz w:val="28"/>
          <w:szCs w:val="28"/>
          <w:lang w:val="en-US" w:eastAsia="zh-CN" w:bidi="ar"/>
        </w:rPr>
        <w:br w:type="textWrapping"/>
      </w:r>
    </w:p>
    <w:p w14:paraId="24152A48">
      <w:pPr>
        <w:pStyle w:val="5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Approved exceptions are logged in the central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Risk Register &amp; Policy Exception Log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. Automated alerts are configured to notify the GRC team 14 days prior to expiration to mandate re-evaluation or complete remediation.</w:t>
      </w:r>
    </w:p>
    <w:p w14:paraId="4E3BA5B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5AB7B5"/>
    <w:multiLevelType w:val="singleLevel"/>
    <w:tmpl w:val="565AB7B5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0E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2026-08-04T21:20:30Z</dcterms:created>
  <dc:creator>User</dc:creator>
  <cp:lastModifiedBy>Divine E. SMART</cp:lastModifiedBy>
  <dcterms:modified xsi:type="dcterms:W3CDTF">2026-08-04T21:37:01Z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eyJoZGlkIjoiNjZhOTVlY2ZhZDVlZDE0YTBmOTJhYTIwNzAyZjc4Y2MiLCJ1c2VySWQiOiIxNjY3MDc4MDUzMTUwIn0=</vt:lpwstr>
  </property>
  <property fmtid="{D5CDD505-2E9C-101B-9397-08002B2CF9AE}" pid="4" name="ICV">
    <vt:lpwstr>6842EDF77D894012AA12E5F22C9E577B_12</vt:lpwstr>
  </property>
</Properties>
</file>