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588B7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Sitka Small Semibold" w:hAnsi="Sitka Small Semibold" w:eastAsia="sans-serif" w:cs="Sitka Small Semibold"/>
          <w:sz w:val="44"/>
          <w:szCs w:val="44"/>
        </w:rPr>
      </w:pPr>
      <w:r>
        <w:rPr>
          <w:rFonts w:hint="default" w:ascii="Sitka Small Semibold" w:hAnsi="Sitka Small Semibold" w:eastAsia="sans-serif" w:cs="Sitka Small Semibold"/>
          <w:sz w:val="44"/>
          <w:szCs w:val="44"/>
        </w:rPr>
        <w:br w:type="textWrapping"/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44"/>
          <w:szCs w:val="44"/>
        </w:rPr>
        <w:t>EXECUTIVE BRIEF</w:t>
      </w:r>
    </w:p>
    <w:p w14:paraId="008D21E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TO: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Executive Leadership &amp; Board Risk Committees (ApexPay &amp; Mobihealth)</w:t>
      </w:r>
    </w:p>
    <w:p w14:paraId="12FA55A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FROM: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  <w:lang w:val="en-US"/>
        </w:rPr>
        <w:t>Divine Echezona Smart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 Cyber Risk &amp; Compliance Analyst</w:t>
      </w:r>
    </w:p>
    <w:p w14:paraId="488E73C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DATE: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August 7, 2026</w:t>
      </w:r>
    </w:p>
    <w:p w14:paraId="59531ECE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SUBJECT: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Third-Party Risk Management (TPRM) Security Assessments: FraudShield AI &amp; RadiologyAI Inc.</w:t>
      </w:r>
    </w:p>
    <w:p w14:paraId="4AD0B1F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right="720"/>
        <w:jc w:val="both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32"/>
          <w:szCs w:val="32"/>
        </w:rPr>
        <w:br w:type="textWrapping"/>
      </w: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32"/>
          <w:szCs w:val="32"/>
        </w:rPr>
        <w:t>Bottom Line Up Front (BLUF):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Initial Third-Party Risk Management (TPRM) evaluations have been completed for two Tier-1 critical vendors.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FraudShield AI (FinTech)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has been granted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Conditional Approval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pending mandatory contractual adjustments to breach notification SLAs and MFA enforcement on break-glass accounts.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RadiologyAI Inc. (HealthTech)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has been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Rejected / Unapproved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due to refusal to sign a HIPAA Business Associate Agreement (BAA) and unmitigated cross-border data transfer violations under the Nigeria Data Protection Act (NDPA).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1CAC4C6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right="720"/>
        <w:jc w:val="both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58228E8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right="720"/>
        <w:jc w:val="both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21BB9FB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1. Vendor Risk Evaluation Summary Dashboard</w:t>
      </w:r>
    </w:p>
    <w:tbl>
      <w:tblPr>
        <w:tblW w:w="11633" w:type="dxa"/>
        <w:tblCellSpacing w:w="15" w:type="dxa"/>
        <w:tblInd w:w="-143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2164"/>
        <w:gridCol w:w="1699"/>
        <w:gridCol w:w="1701"/>
        <w:gridCol w:w="1620"/>
        <w:gridCol w:w="2378"/>
      </w:tblGrid>
      <w:tr w14:paraId="3FD92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9AC7F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Vendor Name</w:t>
            </w:r>
          </w:p>
        </w:tc>
        <w:tc>
          <w:tcPr>
            <w:tcW w:w="213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1E50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Target Platform</w:t>
            </w:r>
          </w:p>
        </w:tc>
        <w:tc>
          <w:tcPr>
            <w:tcW w:w="166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9629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Inherent Risk Tier</w:t>
            </w:r>
          </w:p>
        </w:tc>
        <w:tc>
          <w:tcPr>
            <w:tcW w:w="167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71C9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Key Regulatory / Audit Artifacts</w:t>
            </w:r>
          </w:p>
        </w:tc>
        <w:tc>
          <w:tcPr>
            <w:tcW w:w="159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83D83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Inherent Gaps / Vulnerabilities</w:t>
            </w:r>
          </w:p>
        </w:tc>
        <w:tc>
          <w:tcPr>
            <w:tcW w:w="233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0399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8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Final Risk Verdict</w:t>
            </w:r>
          </w:p>
        </w:tc>
      </w:tr>
      <w:tr w14:paraId="3142A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620C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FraudShield AI</w:t>
            </w:r>
          </w:p>
        </w:tc>
        <w:tc>
          <w:tcPr>
            <w:tcW w:w="213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2068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ApexPay Solutions</w:t>
            </w:r>
          </w:p>
        </w:tc>
        <w:tc>
          <w:tcPr>
            <w:tcW w:w="166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2444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Tier 1 (Critical)</w:t>
            </w: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— Real-time payment scoring API</w:t>
            </w:r>
          </w:p>
        </w:tc>
        <w:tc>
          <w:tcPr>
            <w:tcW w:w="167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2CF7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SOC 2 Type II (Unqualified), PCI-DSS Level 1 AOC</w:t>
            </w:r>
          </w:p>
        </w:tc>
        <w:tc>
          <w:tcPr>
            <w:tcW w:w="159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1409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sz w:val="28"/>
                <w:szCs w:val="28"/>
                <w:bdr w:val="none" w:color="auto" w:sz="0" w:space="0"/>
              </w:rPr>
              <w:t>• 10-day breach notification clause.</w:t>
            </w:r>
          </w:p>
          <w:p w14:paraId="67AFEC2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</w:p>
          <w:p w14:paraId="7DA3429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itka Small Semibold" w:hAnsi="Sitka Small Semibold" w:eastAsia="sans-serif" w:cs="Sitka Small Semibold"/>
                <w:sz w:val="28"/>
                <w:szCs w:val="28"/>
                <w:lang w:val="en-US"/>
              </w:rPr>
            </w:pPr>
            <w:r>
              <w:rPr>
                <w:rFonts w:hint="default" w:ascii="Sitka Small Semibold" w:hAnsi="Sitka Small Semibold" w:eastAsia="sans-serif" w:cs="Sitka Small Semibold"/>
                <w:sz w:val="28"/>
                <w:szCs w:val="28"/>
                <w:bdr w:val="none" w:color="auto" w:sz="0" w:space="0"/>
              </w:rPr>
              <w:t>• Non-MFA administrative break-glass accounts</w:t>
            </w:r>
            <w:r>
              <w:rPr>
                <w:rFonts w:hint="default" w:ascii="Sitka Small Semibold" w:hAnsi="Sitka Small Semibold" w:eastAsia="sans-serif" w:cs="Sitka Small Semibold"/>
                <w:sz w:val="28"/>
                <w:szCs w:val="28"/>
                <w:bdr w:val="none" w:color="auto" w:sz="0" w:space="0"/>
                <w:lang w:val="en-US"/>
              </w:rPr>
              <w:t>.</w:t>
            </w:r>
          </w:p>
        </w:tc>
        <w:tc>
          <w:tcPr>
            <w:tcW w:w="233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1D3B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CONDITIONAL</w:t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APPROVAL</w:t>
            </w:r>
          </w:p>
        </w:tc>
      </w:tr>
      <w:tr w14:paraId="6BF8E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DDB6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RadiologyAI Inc.</w:t>
            </w:r>
          </w:p>
        </w:tc>
        <w:tc>
          <w:tcPr>
            <w:tcW w:w="213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FD3E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Mobihealth International</w:t>
            </w:r>
          </w:p>
        </w:tc>
        <w:tc>
          <w:tcPr>
            <w:tcW w:w="166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0CCD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Tier 1 (Critical)</w:t>
            </w: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— Cloud AI diagnostic imaging</w:t>
            </w:r>
          </w:p>
        </w:tc>
        <w:tc>
          <w:tcPr>
            <w:tcW w:w="167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6810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ISO 27001 (Excludes rendering sub-processors)</w:t>
            </w:r>
          </w:p>
        </w:tc>
        <w:tc>
          <w:tcPr>
            <w:tcW w:w="159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60FF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sz w:val="28"/>
                <w:szCs w:val="28"/>
                <w:bdr w:val="none" w:color="auto" w:sz="0" w:space="0"/>
              </w:rPr>
              <w:t>•</w:t>
            </w:r>
            <w:r>
              <w:rPr>
                <w:rFonts w:hint="default" w:ascii="Sitka Small Semibold" w:hAnsi="Sitka Small Semibold" w:eastAsia="sans-serif" w:cs="Sitka Small Semibold"/>
                <w:sz w:val="28"/>
                <w:szCs w:val="28"/>
                <w:bdr w:val="none" w:color="auto" w:sz="0" w:space="0"/>
                <w:lang w:val="en-US"/>
              </w:rPr>
              <w:t xml:space="preserve"> </w:t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sz w:val="28"/>
                <w:szCs w:val="28"/>
                <w:bdr w:val="none" w:color="auto" w:sz="0" w:space="0"/>
              </w:rPr>
              <w:t>Refused HIPAA BAA</w:t>
            </w:r>
            <w:r>
              <w:rPr>
                <w:rFonts w:hint="default" w:ascii="Sitka Small Semibold" w:hAnsi="Sitka Small Semibold" w:eastAsia="sans-serif" w:cs="Sitka Small Semibold"/>
                <w:sz w:val="28"/>
                <w:szCs w:val="28"/>
                <w:bdr w:val="none" w:color="auto" w:sz="0" w:space="0"/>
              </w:rPr>
              <w:t>.</w:t>
            </w:r>
          </w:p>
          <w:p w14:paraId="47ED27E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</w:p>
          <w:p w14:paraId="181A3E6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sz w:val="28"/>
                <w:szCs w:val="28"/>
                <w:bdr w:val="none" w:color="auto" w:sz="0" w:space="0"/>
              </w:rPr>
              <w:t>• US-East routing violates NDPA Sec. 41 data residency.</w:t>
            </w:r>
          </w:p>
        </w:tc>
        <w:tc>
          <w:tcPr>
            <w:tcW w:w="233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5B45B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REJECTED / UNAPPROVED</w:t>
            </w:r>
          </w:p>
        </w:tc>
      </w:tr>
    </w:tbl>
    <w:p w14:paraId="78B0143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2. Detailed Evaluation Findings &amp; Risk Analysis</w:t>
      </w:r>
    </w:p>
    <w:p w14:paraId="3E9DA44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color w:val="C65F10" w:themeColor="accent2" w:themeShade="BF"/>
          <w:sz w:val="28"/>
          <w:szCs w:val="28"/>
        </w:rPr>
        <w:t>Case A: FraudShield AI (ApexPay Solutions — FinTech)</w:t>
      </w:r>
    </w:p>
    <w:p w14:paraId="740BF73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Security Posture: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FraudShield maintains strong technical controls, including verified Level 1 PCI-DSS compliance and an unqualified SOC 2 Type II report with zero trust-service exceptions.</w:t>
      </w:r>
    </w:p>
    <w:p w14:paraId="16D27F4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Key Risks Identified:</w:t>
      </w:r>
    </w:p>
    <w:p w14:paraId="46B792B3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="720" w:leftChars="0" w:right="0" w:rightChars="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1. </w:t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Contractual Discrepancy: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Draft agreement specifies a 10-day breach notification window, directly violating ApexPay’s statutory 72-hour regulatory reporting requirement.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470D2CA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="720" w:leftChars="0" w:right="0" w:rightChars="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2. </w:t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Access Management Gap: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Emergency "break-glass" administrative accounts do not mandate TOTP/hardware-based Multi-Factor Authentication.</w:t>
      </w:r>
    </w:p>
    <w:p w14:paraId="41392C9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Conditions for Final Approval: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Legal and Procurement must update the vendor Information Security Addendum (ISA) to mandate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48-hour breach notification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and require FIDO2/TOTP enforcement across all administrative accounts prior to API key issuance.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0BE5E52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203224E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C65F10" w:themeColor="accent2" w:themeShade="BF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color w:val="C65F10" w:themeColor="accent2" w:themeShade="BF"/>
          <w:sz w:val="28"/>
          <w:szCs w:val="28"/>
        </w:rPr>
        <w:t>Case B: RadiologyAI Inc. (Mobihealth International — HealthTech)</w:t>
      </w:r>
    </w:p>
    <w:p w14:paraId="2F44FFF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Security Posture: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Maintains basic ISO 27001 certification, but the audit scope omits third-party regional cloud sub-processors used for image rendering.</w:t>
      </w:r>
    </w:p>
    <w:p w14:paraId="5456887E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Key Risks Identified:</w:t>
      </w:r>
    </w:p>
    <w:p w14:paraId="0D02139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1. </w:t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HIPAA Non-Compliance: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Vendor explicitly refused to sign Mobihealth's standard Business Associate Agreement (BAA), creating direct legal liability for unauthorized Protected Health Information (PHI) processing.</w:t>
      </w:r>
    </w:p>
    <w:p w14:paraId="2640CDC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2. </w:t>
      </w:r>
      <w:r>
        <w:rPr>
          <w:rFonts w:hint="default" w:ascii="Sitka Small Semibold" w:hAnsi="Sitka Small Semibold" w:eastAsia="sans-serif" w:cs="Sitka Small Semibold"/>
          <w:i/>
          <w:i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Data Sovereignty Violation: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Diagnostic image data is routed to US-East cloud regions for AI model inference without localized storage options or Binding Corporate Rules, violating NDPA Section 41.</w:t>
      </w:r>
    </w:p>
    <w:p w14:paraId="4E9A7E0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◎</w:t>
      </w:r>
      <w:r>
        <w:rPr>
          <w:rFonts w:hint="default" w:ascii="SimSun" w:hAnsi="SimSun" w:eastAsia="SimSun" w:cs="SimSun"/>
          <w:b/>
          <w:bCs/>
          <w:color w:val="4874CB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Justification for Rejection: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Onboarding RadiologyAI introduces severe, unmitigated legal exposure. Data processing is halted immediately until the vendor re-architects its regional pipeline and executes all required BAAs and Data Processing Agreements (DPAs).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37B64E8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3. Governance &amp; Action Items for Leadership</w:t>
      </w:r>
    </w:p>
    <w:p w14:paraId="307A5AA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1.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Procurement Hold: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Instruct Procurement to hold contract execution for FraudShield AI until legal amendments are signed, and freeze all procurement workflows for RadiologyAI Inc.</w:t>
      </w:r>
    </w:p>
    <w:p w14:paraId="238A22C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2.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Alternative Vendor Sourcing: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Direct the Mobihealth product team to evaluate alternative HIPAA-compliant and NDPA-aligned diagnostic AI vendors.</w:t>
      </w:r>
    </w:p>
    <w:p w14:paraId="1647A41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3.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Policy Integration: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Formally integrate these Vendor Security Addendum requirements into the enterprise </w:t>
      </w:r>
      <w:bookmarkStart w:id="0" w:name="_GoBack"/>
      <w:bookmarkEnd w:id="0"/>
      <w:r>
        <w:rPr>
          <w:rFonts w:hint="default" w:ascii="Sitka Small Semibold" w:hAnsi="Sitka Small Semibold" w:eastAsia="sans-serif" w:cs="Sitka Small Semibold"/>
          <w:sz w:val="28"/>
          <w:szCs w:val="28"/>
        </w:rPr>
        <w:t>TPRM onboarding workflow.</w:t>
      </w:r>
    </w:p>
    <w:p w14:paraId="5487D3B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C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2026-08-07T11:36:03Z</dcterms:created>
  <dc:creator>User</dc:creator>
  <cp:lastModifiedBy>Divine E. SMART</cp:lastModifiedBy>
  <dcterms:modified xsi:type="dcterms:W3CDTF">2026-08-07T13:50:27Z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eyJoZGlkIjoiNjZhOTVlY2ZhZDVlZDE0YTBmOTJhYTIwNzAyZjc4Y2MiLCJ1c2VySWQiOiIxNjY3MDc4MDUzMTUwIn0=</vt:lpwstr>
  </property>
  <property fmtid="{D5CDD505-2E9C-101B-9397-08002B2CF9AE}" pid="4" name="ICV">
    <vt:lpwstr>0060967FE10942588D7A710CB44BDEE3_12</vt:lpwstr>
  </property>
</Properties>
</file>