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FD0CFC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jc w:val="center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imSun" w:cs="Sitka Small Semibold"/>
          <w:sz w:val="28"/>
          <w:szCs w:val="28"/>
        </w:rPr>
        <w:br w:type="textWrapping"/>
      </w:r>
      <w:r>
        <w:rPr>
          <w:rFonts w:hint="default" w:ascii="Sitka Small Semibold" w:hAnsi="Sitka Small Semibold" w:eastAsia="SimSun" w:cs="Sitka Small Semibold"/>
          <w:color w:val="2E54A1" w:themeColor="accent1" w:themeShade="BF"/>
          <w:sz w:val="44"/>
          <w:szCs w:val="44"/>
        </w:rPr>
        <w:t>THIRD-PARTY RISK MANAGEMENT (TPRM) VENDOR ASSESSMENT</w:t>
      </w:r>
      <w:r>
        <w:rPr>
          <w:rFonts w:hint="default" w:ascii="Sitka Small Semibold" w:hAnsi="Sitka Small Semibold" w:eastAsia="SimSun" w:cs="Sitka Small Semibold"/>
          <w:sz w:val="28"/>
          <w:szCs w:val="28"/>
        </w:rPr>
        <w:br w:type="textWrapping"/>
      </w:r>
    </w:p>
    <w:p w14:paraId="068BA426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This provides a TPRM evaluation framework, including a </w:t>
      </w: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Vendor Risk Tiering Model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, </w:t>
      </w: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Security Assessment Questionnaire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>, and evaluation</w:t>
      </w:r>
      <w:r>
        <w:rPr>
          <w:rFonts w:hint="default" w:ascii="Sitka Small Semibold" w:hAnsi="Sitka Small Semibold" w:eastAsia="sans-serif" w:cs="Sitka Small Semibold"/>
          <w:sz w:val="28"/>
          <w:szCs w:val="28"/>
          <w:lang w:val="en-US"/>
        </w:rPr>
        <w:t>s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for </w:t>
      </w: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ApexPay Solutions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and </w:t>
      </w: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Mobihealth International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>.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</w:p>
    <w:p w14:paraId="1747F78A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color w:val="0070C0"/>
          <w:sz w:val="36"/>
          <w:szCs w:val="36"/>
        </w:rPr>
      </w:pPr>
      <w:r>
        <w:rPr>
          <w:rFonts w:hint="default" w:ascii="Sitka Small Semibold" w:hAnsi="Sitka Small Semibold" w:eastAsia="sans-serif" w:cs="Sitka Small Semibold"/>
          <w:color w:val="0070C0"/>
          <w:sz w:val="36"/>
          <w:szCs w:val="36"/>
        </w:rPr>
        <w:t>1. Vendor Criticality &amp; Risk Tiering Framework</w:t>
      </w:r>
    </w:p>
    <w:p w14:paraId="2B58302C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sz w:val="28"/>
          <w:szCs w:val="28"/>
        </w:rPr>
        <w:t>Before sending questionnaires, vendors must be categorized by inherent risk to prevent "assessment fatigue" and allocate resources effectively.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</w:p>
    <w:p w14:paraId="661A9ED8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color w:val="0070C0"/>
          <w:kern w:val="0"/>
          <w:sz w:val="32"/>
          <w:szCs w:val="32"/>
          <w:lang w:val="en-US" w:eastAsia="zh-CN" w:bidi="ar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Inherent Risk = Data Sensitivity </w:t>
      </w:r>
      <w:r>
        <w:rPr>
          <w:rFonts w:hint="default" w:ascii="Arial" w:hAnsi="Arial" w:eastAsia="sans-serif" w:cs="Arial"/>
          <w:b/>
          <w:bCs/>
          <w:color w:val="0070C0"/>
          <w:kern w:val="0"/>
          <w:sz w:val="32"/>
          <w:szCs w:val="32"/>
          <w:lang w:val="en-US" w:eastAsia="zh-CN" w:bidi="ar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×</w:t>
      </w:r>
      <w:r>
        <w:rPr>
          <w:rFonts w:hint="default" w:ascii="Sitka Small Semibold" w:hAnsi="Sitka Small Semibold" w:eastAsia="sans-serif" w:cs="Sitka Small Semibold"/>
          <w:color w:val="0070C0"/>
          <w:kern w:val="0"/>
          <w:sz w:val="32"/>
          <w:szCs w:val="32"/>
          <w:lang w:val="en-US" w:eastAsia="zh-CN" w:bidi="ar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System Access Level</w:t>
      </w:r>
      <w:r>
        <w:rPr>
          <w:rFonts w:hint="default" w:ascii="Sitka Small Semibold" w:hAnsi="Sitka Small Semibold" w:eastAsia="sans-serif" w:cs="Sitka Small Semibold"/>
          <w:kern w:val="0"/>
          <w:sz w:val="28"/>
          <w:szCs w:val="28"/>
          <w:lang w:val="en-US" w:eastAsia="zh-CN" w:bidi="ar"/>
        </w:rPr>
        <w:br w:type="textWrapping"/>
      </w:r>
    </w:p>
    <w:tbl>
      <w:tblPr>
        <w:tblW w:w="11643" w:type="dxa"/>
        <w:tblCellSpacing w:w="15" w:type="dxa"/>
        <w:tblInd w:w="-143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1"/>
        <w:gridCol w:w="3735"/>
        <w:gridCol w:w="3704"/>
        <w:gridCol w:w="2143"/>
      </w:tblGrid>
      <w:tr w14:paraId="07CD9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016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24DAC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2E54A1" w:themeColor="accent1" w:themeShade="BF"/>
                <w:sz w:val="28"/>
                <w:szCs w:val="28"/>
              </w:rPr>
            </w:pPr>
            <w:r>
              <w:rPr>
                <w:rStyle w:val="7"/>
                <w:rFonts w:hint="default" w:ascii="Sitka Small Semibold" w:hAnsi="Sitka Small Semibold" w:eastAsia="sans-serif" w:cs="Sitka Small Semibold"/>
                <w:color w:val="2E54A1" w:themeColor="accent1" w:themeShade="BF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Risk Tier</w:t>
            </w:r>
          </w:p>
        </w:tc>
        <w:tc>
          <w:tcPr>
            <w:tcW w:w="3705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6B813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2E54A1" w:themeColor="accent1" w:themeShade="BF"/>
                <w:sz w:val="28"/>
                <w:szCs w:val="28"/>
              </w:rPr>
            </w:pPr>
            <w:r>
              <w:rPr>
                <w:rStyle w:val="7"/>
                <w:rFonts w:hint="default" w:ascii="Sitka Small Semibold" w:hAnsi="Sitka Small Semibold" w:eastAsia="sans-serif" w:cs="Sitka Small Semibold"/>
                <w:color w:val="2E54A1" w:themeColor="accent1" w:themeShade="BF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Criteria</w:t>
            </w:r>
          </w:p>
        </w:tc>
        <w:tc>
          <w:tcPr>
            <w:tcW w:w="367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ED079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2E54A1" w:themeColor="accent1" w:themeShade="BF"/>
                <w:sz w:val="28"/>
                <w:szCs w:val="28"/>
              </w:rPr>
            </w:pPr>
            <w:r>
              <w:rPr>
                <w:rStyle w:val="7"/>
                <w:rFonts w:hint="default" w:ascii="Sitka Small Semibold" w:hAnsi="Sitka Small Semibold" w:eastAsia="sans-serif" w:cs="Sitka Small Semibold"/>
                <w:color w:val="2E54A1" w:themeColor="accent1" w:themeShade="BF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Assessment Requirements</w:t>
            </w:r>
          </w:p>
        </w:tc>
        <w:tc>
          <w:tcPr>
            <w:tcW w:w="209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7F1F5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2E54A1" w:themeColor="accent1" w:themeShade="BF"/>
                <w:sz w:val="28"/>
                <w:szCs w:val="28"/>
              </w:rPr>
            </w:pPr>
            <w:r>
              <w:rPr>
                <w:rStyle w:val="7"/>
                <w:rFonts w:hint="default" w:ascii="Sitka Small Semibold" w:hAnsi="Sitka Small Semibold" w:eastAsia="sans-serif" w:cs="Sitka Small Semibold"/>
                <w:color w:val="2E54A1" w:themeColor="accent1" w:themeShade="BF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Review Cycle</w:t>
            </w:r>
          </w:p>
        </w:tc>
      </w:tr>
      <w:tr w14:paraId="2F018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16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D2E40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F000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FF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Tier 1: Critical Risk</w:t>
            </w:r>
          </w:p>
        </w:tc>
        <w:tc>
          <w:tcPr>
            <w:tcW w:w="3705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94E30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F000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FF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Processes/stores Sensitive Data (PHI, PCI, PII), has direct access to production environments, or provides mission-critical uptime (RTO </w:t>
            </w:r>
            <w:r>
              <w:rPr>
                <w:rFonts w:hint="default" w:ascii="Arial" w:hAnsi="Arial" w:eastAsia="sans-serif" w:cs="Arial"/>
                <w:b/>
                <w:bCs/>
                <w:color w:val="FF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≤ </w:t>
            </w:r>
            <w:r>
              <w:rPr>
                <w:rFonts w:hint="default" w:ascii="Sitka Small Semibold" w:hAnsi="Sitka Small Semibold" w:eastAsia="sans-serif" w:cs="Sitka Small Semibold"/>
                <w:color w:val="FF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 hours).</w:t>
            </w:r>
          </w:p>
        </w:tc>
        <w:tc>
          <w:tcPr>
            <w:tcW w:w="367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C5452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F000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FF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Full VSAQ, SOC 2 Type II review, ISO 27001 audit, Penetration Test executive summary, mandatory BAA/DPA sign-off.</w:t>
            </w:r>
          </w:p>
        </w:tc>
        <w:tc>
          <w:tcPr>
            <w:tcW w:w="209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76274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F000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FF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Annual</w:t>
            </w:r>
          </w:p>
        </w:tc>
      </w:tr>
      <w:tr w14:paraId="08C7E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16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E5B32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C81D31" w:themeColor="accent6" w:themeShade="BF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C81D31" w:themeColor="accent6" w:themeShade="BF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Tier 2: </w:t>
            </w: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C81D31" w:themeColor="accent6" w:themeShade="BF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C81D31" w:themeColor="accent6" w:themeShade="BF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High / Medium Risk</w:t>
            </w:r>
          </w:p>
        </w:tc>
        <w:tc>
          <w:tcPr>
            <w:tcW w:w="3705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D9C65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C81D31" w:themeColor="accent6" w:themeShade="BF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C81D31" w:themeColor="accent6" w:themeShade="BF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Access to non-sensitive internal business data, indirect integration via rate-limited APIs, or support functions with workarounds.</w:t>
            </w:r>
          </w:p>
        </w:tc>
        <w:tc>
          <w:tcPr>
            <w:tcW w:w="367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E538C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C81D31" w:themeColor="accent6" w:themeShade="BF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C81D31" w:themeColor="accent6" w:themeShade="BF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Abbreviated VSAQ (SIG Lite / CAIQ), SOC 2 Type II or ISO 27001 certification check, standard privacy terms.</w:t>
            </w:r>
          </w:p>
        </w:tc>
        <w:tc>
          <w:tcPr>
            <w:tcW w:w="209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74B7B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C81D31" w:themeColor="accent6" w:themeShade="BF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C81D31" w:themeColor="accent6" w:themeShade="BF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Bi-Annual (Every 2 Years)</w:t>
            </w:r>
          </w:p>
        </w:tc>
      </w:tr>
      <w:tr w14:paraId="6AA1C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16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1DA79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C65F10" w:themeColor="accent2" w:themeShade="BF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C65F10" w:themeColor="accent2" w:themeShade="BF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Tier 3: Low Risk</w:t>
            </w:r>
          </w:p>
        </w:tc>
        <w:tc>
          <w:tcPr>
            <w:tcW w:w="3705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7FB91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C65F10" w:themeColor="accent2" w:themeShade="BF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C65F10" w:themeColor="accent2" w:themeShade="BF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Public data access only, no network access, no sensitive data handling (e.g., office supply vendors, public marketing tools).</w:t>
            </w:r>
          </w:p>
        </w:tc>
        <w:tc>
          <w:tcPr>
            <w:tcW w:w="367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58692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C65F10" w:themeColor="accent2" w:themeShade="BF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C65F10" w:themeColor="accent2" w:themeShade="BF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Basic vendor security self-attestation or terms-of-service compliance check.</w:t>
            </w:r>
          </w:p>
        </w:tc>
        <w:tc>
          <w:tcPr>
            <w:tcW w:w="209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5B831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C65F10" w:themeColor="accent2" w:themeShade="BF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C65F10" w:themeColor="accent2" w:themeShade="BF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At Onboarding Only</w:t>
            </w:r>
          </w:p>
        </w:tc>
      </w:tr>
    </w:tbl>
    <w:p w14:paraId="69CBCED2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  <w:r>
        <w:rPr>
          <w:rFonts w:hint="default" w:ascii="Sitka Small Semibold" w:hAnsi="Sitka Small Semibold" w:eastAsia="sans-serif" w:cs="Sitka Small Semibold"/>
          <w:color w:val="2E54A1" w:themeColor="accent1" w:themeShade="BF"/>
          <w:sz w:val="36"/>
          <w:szCs w:val="36"/>
        </w:rPr>
        <w:t>2. Vendor Security Assessment Questionnaire (VSAQ)</w:t>
      </w:r>
    </w:p>
    <w:p w14:paraId="2F2273A9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i/>
          <w:iCs/>
          <w:sz w:val="28"/>
          <w:szCs w:val="28"/>
        </w:rPr>
        <w:t>This 5-domain questionnaire template can be adapted into a spreadsheet or vendor management portal (e.g., OneTrust, Prevalent).</w:t>
      </w:r>
    </w:p>
    <w:p w14:paraId="6BAF50CD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color w:val="0070C0"/>
          <w:sz w:val="32"/>
          <w:szCs w:val="32"/>
        </w:rPr>
      </w:pPr>
      <w:r>
        <w:rPr>
          <w:rFonts w:hint="default" w:ascii="Sitka Small Semibold" w:hAnsi="Sitka Small Semibold" w:eastAsia="sans-serif" w:cs="Sitka Small Semibold"/>
          <w:color w:val="0070C0"/>
          <w:sz w:val="32"/>
          <w:szCs w:val="32"/>
        </w:rPr>
        <w:t>Domain 1: Information Security Governance &amp; Compliance</w:t>
      </w:r>
    </w:p>
    <w:p w14:paraId="32B83A6D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1.1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Do you maintain an active SOC 2 Type II report, ISO/IEC 27001 certification, or equivalent third-party audit? </w:t>
      </w:r>
      <w:r>
        <w:rPr>
          <w:rFonts w:hint="default" w:ascii="Sitka Small Semibold" w:hAnsi="Sitka Small Semibold" w:eastAsia="sans-serif" w:cs="Sitka Small Semibold"/>
          <w:i/>
          <w:iCs/>
          <w:sz w:val="28"/>
          <w:szCs w:val="28"/>
        </w:rPr>
        <w:t>(Yes/No - Attach Report)</w:t>
      </w:r>
    </w:p>
    <w:p w14:paraId="30CE6270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1.2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Do you execute statutory Data Processing Agreements (DPAs) or HIPAA Business Associate Agreements (BAAs) where applicable? </w:t>
      </w:r>
      <w:r>
        <w:rPr>
          <w:rFonts w:hint="default" w:ascii="Sitka Small Semibold" w:hAnsi="Sitka Small Semibold" w:eastAsia="sans-serif" w:cs="Sitka Small Semibold"/>
          <w:i/>
          <w:iCs/>
          <w:sz w:val="28"/>
          <w:szCs w:val="28"/>
        </w:rPr>
        <w:t>(Yes/No)</w:t>
      </w:r>
    </w:p>
    <w:p w14:paraId="47DF5519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1.3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Do you maintain a formalized Information Security Policy that is reviewed at least annually? </w:t>
      </w:r>
      <w:r>
        <w:rPr>
          <w:rFonts w:hint="default" w:ascii="Sitka Small Semibold" w:hAnsi="Sitka Small Semibold" w:eastAsia="sans-serif" w:cs="Sitka Small Semibold"/>
          <w:i/>
          <w:iCs/>
          <w:sz w:val="28"/>
          <w:szCs w:val="28"/>
        </w:rPr>
        <w:t>(Yes/No)</w:t>
      </w:r>
      <w:r>
        <w:rPr>
          <w:rFonts w:hint="default" w:ascii="Sitka Small Semibold" w:hAnsi="Sitka Small Semibold" w:eastAsia="sans-serif" w:cs="Sitka Small Semibold"/>
          <w:i/>
          <w:iCs/>
          <w:sz w:val="28"/>
          <w:szCs w:val="28"/>
        </w:rPr>
        <w:br w:type="textWrapping"/>
      </w:r>
    </w:p>
    <w:p w14:paraId="3665BA9C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color w:val="0070C0"/>
          <w:sz w:val="32"/>
          <w:szCs w:val="32"/>
        </w:rPr>
      </w:pPr>
      <w:r>
        <w:rPr>
          <w:rFonts w:hint="default" w:ascii="Sitka Small Semibold" w:hAnsi="Sitka Small Semibold" w:eastAsia="sans-serif" w:cs="Sitka Small Semibold"/>
          <w:color w:val="0070C0"/>
          <w:sz w:val="32"/>
          <w:szCs w:val="32"/>
        </w:rPr>
        <w:t>Domain 2: Data Protection &amp; Encryption Standards</w:t>
      </w:r>
    </w:p>
    <w:p w14:paraId="00621F54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2.1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Is customer data encrypted in transit using TLS 1.2+ (TLS 1.3 preferred) and at rest using AES-256? </w:t>
      </w:r>
      <w:r>
        <w:rPr>
          <w:rFonts w:hint="default" w:ascii="Sitka Small Semibold" w:hAnsi="Sitka Small Semibold" w:eastAsia="sans-serif" w:cs="Sitka Small Semibold"/>
          <w:i/>
          <w:iCs/>
          <w:sz w:val="28"/>
          <w:szCs w:val="28"/>
        </w:rPr>
        <w:t>(Yes/No)</w:t>
      </w:r>
    </w:p>
    <w:p w14:paraId="122108BB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2.2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Is customer data logically or physically segregated in multi-tenant cloud environments? </w:t>
      </w:r>
      <w:r>
        <w:rPr>
          <w:rFonts w:hint="default" w:ascii="Sitka Small Semibold" w:hAnsi="Sitka Small Semibold" w:eastAsia="sans-serif" w:cs="Sitka Small Semibold"/>
          <w:i/>
          <w:iCs/>
          <w:sz w:val="28"/>
          <w:szCs w:val="28"/>
        </w:rPr>
        <w:t>(Describe Controls)</w:t>
      </w:r>
    </w:p>
    <w:p w14:paraId="5616B092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2.3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Do you support customer-managed encryption keys (CMEK) or localized data residency storage? </w:t>
      </w:r>
      <w:r>
        <w:rPr>
          <w:rFonts w:hint="default" w:ascii="Sitka Small Semibold" w:hAnsi="Sitka Small Semibold" w:eastAsia="sans-serif" w:cs="Sitka Small Semibold"/>
          <w:i/>
          <w:iCs/>
          <w:sz w:val="28"/>
          <w:szCs w:val="28"/>
        </w:rPr>
        <w:t>(Yes/No)</w:t>
      </w:r>
      <w:r>
        <w:rPr>
          <w:rFonts w:hint="default" w:ascii="Sitka Small Semibold" w:hAnsi="Sitka Small Semibold" w:eastAsia="sans-serif" w:cs="Sitka Small Semibold"/>
          <w:i/>
          <w:iCs/>
          <w:sz w:val="28"/>
          <w:szCs w:val="28"/>
        </w:rPr>
        <w:br w:type="textWrapping"/>
      </w:r>
    </w:p>
    <w:p w14:paraId="39C77653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color w:val="0070C0"/>
          <w:sz w:val="32"/>
          <w:szCs w:val="32"/>
        </w:rPr>
      </w:pPr>
      <w:r>
        <w:rPr>
          <w:rFonts w:hint="default" w:ascii="Sitka Small Semibold" w:hAnsi="Sitka Small Semibold" w:eastAsia="sans-serif" w:cs="Sitka Small Semibold"/>
          <w:color w:val="0070C0"/>
          <w:sz w:val="32"/>
          <w:szCs w:val="32"/>
        </w:rPr>
        <w:t>Domain 3: Access Control &amp; Identity Management</w:t>
      </w:r>
    </w:p>
    <w:p w14:paraId="207FCEF3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3.1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Is Multi-Factor Authentication (MFA) mandatory for all vendor employees accessing infrastructure or customer data stores? </w:t>
      </w:r>
      <w:r>
        <w:rPr>
          <w:rFonts w:hint="default" w:ascii="Sitka Small Semibold" w:hAnsi="Sitka Small Semibold" w:eastAsia="sans-serif" w:cs="Sitka Small Semibold"/>
          <w:i/>
          <w:iCs/>
          <w:sz w:val="28"/>
          <w:szCs w:val="28"/>
        </w:rPr>
        <w:t>(Yes/No)</w:t>
      </w:r>
    </w:p>
    <w:p w14:paraId="2F2D1A48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3.2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Do you enforce the Principle of Least Privilege and conduct quarterly User Access Reviews (UARs)? </w:t>
      </w:r>
      <w:r>
        <w:rPr>
          <w:rFonts w:hint="default" w:ascii="Sitka Small Semibold" w:hAnsi="Sitka Small Semibold" w:eastAsia="sans-serif" w:cs="Sitka Small Semibold"/>
          <w:i/>
          <w:iCs/>
          <w:sz w:val="28"/>
          <w:szCs w:val="28"/>
        </w:rPr>
        <w:t>(Yes/No)</w:t>
      </w:r>
    </w:p>
    <w:p w14:paraId="26D4E41E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3.3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Do you support SSO integration (SAML 2.0 / OIDC) for enterprise customer access? </w:t>
      </w:r>
      <w:r>
        <w:rPr>
          <w:rFonts w:hint="default" w:ascii="Sitka Small Semibold" w:hAnsi="Sitka Small Semibold" w:eastAsia="sans-serif" w:cs="Sitka Small Semibold"/>
          <w:i/>
          <w:iCs/>
          <w:sz w:val="28"/>
          <w:szCs w:val="28"/>
        </w:rPr>
        <w:t>(Yes/No)</w:t>
      </w:r>
      <w:r>
        <w:rPr>
          <w:rFonts w:hint="default" w:ascii="Sitka Small Semibold" w:hAnsi="Sitka Small Semibold" w:eastAsia="sans-serif" w:cs="Sitka Small Semibold"/>
          <w:i/>
          <w:iCs/>
          <w:sz w:val="28"/>
          <w:szCs w:val="28"/>
        </w:rPr>
        <w:br w:type="textWrapping"/>
      </w:r>
    </w:p>
    <w:p w14:paraId="5B035979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color w:val="0070C0"/>
          <w:sz w:val="32"/>
          <w:szCs w:val="32"/>
        </w:rPr>
      </w:pPr>
      <w:r>
        <w:rPr>
          <w:rFonts w:hint="default" w:ascii="Sitka Small Semibold" w:hAnsi="Sitka Small Semibold" w:eastAsia="sans-serif" w:cs="Sitka Small Semibold"/>
          <w:color w:val="0070C0"/>
          <w:sz w:val="32"/>
          <w:szCs w:val="32"/>
        </w:rPr>
        <w:t>Domain 4: Vulnerability Management &amp; Incident Response</w:t>
      </w:r>
    </w:p>
    <w:p w14:paraId="5B199477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4.1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Do you perform annual third-party network and application penetration testing? </w:t>
      </w:r>
      <w:r>
        <w:rPr>
          <w:rFonts w:hint="default" w:ascii="Sitka Small Semibold" w:hAnsi="Sitka Small Semibold" w:eastAsia="sans-serif" w:cs="Sitka Small Semibold"/>
          <w:i/>
          <w:iCs/>
          <w:sz w:val="28"/>
          <w:szCs w:val="28"/>
        </w:rPr>
        <w:t>(Yes/No - Attach Executive Summary)</w:t>
      </w:r>
    </w:p>
    <w:p w14:paraId="433F8AD1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4.2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What is your SLA for patching Critical vulnerabilities? </w:t>
      </w:r>
      <w:r>
        <w:rPr>
          <w:rFonts w:hint="default" w:ascii="Sitka Small Semibold" w:hAnsi="Sitka Small Semibold" w:eastAsia="sans-serif" w:cs="Sitka Small Semibold"/>
          <w:i/>
          <w:iCs/>
          <w:sz w:val="28"/>
          <w:szCs w:val="28"/>
        </w:rPr>
        <w:t>(Requirement:</w:t>
      </w:r>
      <w:r>
        <w:rPr>
          <w:rFonts w:hint="default" w:ascii="Sitka Small Semibold" w:hAnsi="Sitka Small Semibold" w:eastAsia="sans-serif" w:cs="Sitka Small Semibold"/>
          <w:i/>
          <w:iCs/>
          <w:sz w:val="28"/>
          <w:szCs w:val="28"/>
          <w:lang w:val="en-US"/>
        </w:rPr>
        <w:t xml:space="preserve"> </w:t>
      </w:r>
      <w:r>
        <w:rPr>
          <w:rFonts w:hint="default" w:ascii="Arial" w:hAnsi="Arial" w:eastAsia="sans-serif" w:cs="Arial"/>
          <w:b/>
          <w:bCs/>
          <w:i/>
          <w:iCs/>
          <w:sz w:val="28"/>
          <w:szCs w:val="28"/>
          <w:lang w:val="en-US"/>
        </w:rPr>
        <w:t>≤</w:t>
      </w:r>
      <w:r>
        <w:rPr>
          <w:rFonts w:hint="default" w:ascii="Sitka Small Semibold" w:hAnsi="Sitka Small Semibold" w:eastAsia="sans-serif" w:cs="Sitka Small Semibold"/>
          <w:i/>
          <w:iCs/>
          <w:sz w:val="28"/>
          <w:szCs w:val="28"/>
        </w:rPr>
        <w:t xml:space="preserve"> 14 days</w:t>
      </w:r>
      <w:r>
        <w:rPr>
          <w:rFonts w:hint="default" w:ascii="Sitka Small Semibold" w:hAnsi="Sitka Small Semibold" w:eastAsia="sans-serif" w:cs="Sitka Small Semibold"/>
          <w:i/>
          <w:iCs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i/>
          <w:iCs/>
          <w:sz w:val="28"/>
          <w:szCs w:val="28"/>
        </w:rPr>
        <w:t>for Critical / CVE</w:t>
      </w:r>
      <w:r>
        <w:rPr>
          <w:rFonts w:hint="default" w:ascii="Sitka Small Semibold" w:hAnsi="Sitka Small Semibold" w:eastAsia="sans-serif" w:cs="Sitka Small Semibold"/>
          <w:i/>
          <w:iCs/>
          <w:sz w:val="28"/>
          <w:szCs w:val="28"/>
          <w:lang w:val="en-US"/>
        </w:rPr>
        <w:t xml:space="preserve"> </w:t>
      </w:r>
      <w:r>
        <w:rPr>
          <w:rFonts w:hint="default" w:ascii="Arial" w:hAnsi="Arial" w:eastAsia="sans-serif" w:cs="Arial"/>
          <w:b/>
          <w:bCs/>
          <w:i/>
          <w:iCs/>
          <w:sz w:val="28"/>
          <w:szCs w:val="28"/>
          <w:lang w:val="en-US"/>
        </w:rPr>
        <w:t>≥</w:t>
      </w:r>
      <w:r>
        <w:rPr>
          <w:rFonts w:hint="default" w:ascii="Sitka Small Semibold" w:hAnsi="Sitka Small Semibold" w:eastAsia="sans-serif" w:cs="Sitka Small Semibold"/>
          <w:i/>
          <w:iCs/>
          <w:sz w:val="28"/>
          <w:szCs w:val="28"/>
        </w:rPr>
        <w:t xml:space="preserve"> 9.0$)</w:t>
      </w:r>
    </w:p>
    <w:p w14:paraId="02553847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4.3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What is your statutory timeframe for notifying customers of a confirmed data breach? </w:t>
      </w:r>
      <w:r>
        <w:rPr>
          <w:rFonts w:hint="default" w:ascii="Sitka Small Semibold" w:hAnsi="Sitka Small Semibold" w:eastAsia="sans-serif" w:cs="Sitka Small Semibold"/>
          <w:i/>
          <w:iCs/>
          <w:sz w:val="28"/>
          <w:szCs w:val="28"/>
        </w:rPr>
        <w:t>(Requirement: Within 24–72 hours)</w:t>
      </w:r>
      <w:r>
        <w:rPr>
          <w:rFonts w:hint="default" w:ascii="Sitka Small Semibold" w:hAnsi="Sitka Small Semibold" w:eastAsia="sans-serif" w:cs="Sitka Small Semibold"/>
          <w:i/>
          <w:iCs/>
          <w:sz w:val="28"/>
          <w:szCs w:val="28"/>
        </w:rPr>
        <w:br w:type="textWrapping"/>
      </w:r>
    </w:p>
    <w:p w14:paraId="3841F567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color w:val="0070C0"/>
          <w:sz w:val="32"/>
          <w:szCs w:val="32"/>
        </w:rPr>
      </w:pPr>
      <w:r>
        <w:rPr>
          <w:rFonts w:hint="default" w:ascii="Sitka Small Semibold" w:hAnsi="Sitka Small Semibold" w:eastAsia="sans-serif" w:cs="Sitka Small Semibold"/>
          <w:color w:val="0070C0"/>
          <w:sz w:val="32"/>
          <w:szCs w:val="32"/>
        </w:rPr>
        <w:t>Domain 5: Business Continuity &amp; Disaster Recovery (BCDR)</w:t>
      </w:r>
    </w:p>
    <w:p w14:paraId="4BE1E4BF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5.1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What are your documented Recovery Time Objectives (RTO) and Recovery Point Objectives (RPO) for the service?</w:t>
      </w:r>
    </w:p>
    <w:p w14:paraId="0504FE8A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5.2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Do you conduct annual Disaster Recovery failover testing? </w:t>
      </w:r>
      <w:r>
        <w:rPr>
          <w:rFonts w:hint="default" w:ascii="Sitka Small Semibold" w:hAnsi="Sitka Small Semibold" w:eastAsia="sans-serif" w:cs="Sitka Small Semibold"/>
          <w:i/>
          <w:iCs/>
          <w:sz w:val="28"/>
          <w:szCs w:val="28"/>
        </w:rPr>
        <w:t>(Yes/No - Attach Summary)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</w:p>
    <w:p w14:paraId="7C75EC89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color w:val="2E54A1" w:themeColor="accent1" w:themeShade="BF"/>
          <w:sz w:val="36"/>
          <w:szCs w:val="36"/>
        </w:rPr>
      </w:pPr>
      <w:r>
        <w:rPr>
          <w:rFonts w:hint="default" w:ascii="Sitka Small Semibold" w:hAnsi="Sitka Small Semibold" w:eastAsia="sans-serif" w:cs="Sitka Small Semibold"/>
          <w:color w:val="2E54A1" w:themeColor="accent1" w:themeShade="BF"/>
          <w:sz w:val="36"/>
          <w:szCs w:val="36"/>
        </w:rPr>
        <w:t>3. Vendor Risk Evaluations</w:t>
      </w:r>
    </w:p>
    <w:p w14:paraId="2A9D68BB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color w:val="C65F10" w:themeColor="accent2" w:themeShade="BF"/>
          <w:sz w:val="32"/>
          <w:szCs w:val="32"/>
        </w:rPr>
      </w:pPr>
      <w:r>
        <w:rPr>
          <w:rFonts w:hint="default" w:ascii="Sitka Small Semibold" w:hAnsi="Sitka Small Semibold" w:eastAsia="sans-serif" w:cs="Sitka Small Semibold"/>
          <w:color w:val="C65F10" w:themeColor="accent2" w:themeShade="BF"/>
          <w:sz w:val="32"/>
          <w:szCs w:val="32"/>
        </w:rPr>
        <w:t>Case Study A: ApexPay Evaluating "FraudShield AI" (FinTech)</w:t>
      </w:r>
    </w:p>
    <w:p w14:paraId="6C466514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>Vendor Service: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Cloud-based real-time payment fraud scoring API.</w:t>
      </w:r>
    </w:p>
    <w:p w14:paraId="4E2E1757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>Inherent Risk: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</w:t>
      </w: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Tier 1 (Critical)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Processes live financial transaction data and cardholder metadata.</w:t>
      </w:r>
    </w:p>
    <w:tbl>
      <w:tblPr>
        <w:tblW w:w="11632" w:type="dxa"/>
        <w:tblCellSpacing w:w="15" w:type="dxa"/>
        <w:tblInd w:w="-1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7"/>
        <w:gridCol w:w="2510"/>
        <w:gridCol w:w="4194"/>
        <w:gridCol w:w="2561"/>
      </w:tblGrid>
      <w:tr w14:paraId="53019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322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9AC28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2E54A1" w:themeColor="accent1" w:themeShade="BF"/>
                <w:sz w:val="28"/>
                <w:szCs w:val="28"/>
              </w:rPr>
            </w:pPr>
            <w:r>
              <w:rPr>
                <w:rStyle w:val="7"/>
                <w:rFonts w:hint="default" w:ascii="Sitka Small Semibold" w:hAnsi="Sitka Small Semibold" w:eastAsia="sans-serif" w:cs="Sitka Small Semibold"/>
                <w:color w:val="2E54A1" w:themeColor="accent1" w:themeShade="BF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Evaluated Control</w:t>
            </w:r>
          </w:p>
        </w:tc>
        <w:tc>
          <w:tcPr>
            <w:tcW w:w="248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6F9E1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2E54A1" w:themeColor="accent1" w:themeShade="BF"/>
                <w:sz w:val="28"/>
                <w:szCs w:val="28"/>
              </w:rPr>
            </w:pPr>
            <w:r>
              <w:rPr>
                <w:rStyle w:val="7"/>
                <w:rFonts w:hint="default" w:ascii="Sitka Small Semibold" w:hAnsi="Sitka Small Semibold" w:eastAsia="sans-serif" w:cs="Sitka Small Semibold"/>
                <w:color w:val="2E54A1" w:themeColor="accent1" w:themeShade="BF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Vendor Status / Artifact</w:t>
            </w:r>
          </w:p>
        </w:tc>
        <w:tc>
          <w:tcPr>
            <w:tcW w:w="416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BA227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2E54A1" w:themeColor="accent1" w:themeShade="BF"/>
                <w:sz w:val="28"/>
                <w:szCs w:val="28"/>
              </w:rPr>
            </w:pPr>
            <w:r>
              <w:rPr>
                <w:rStyle w:val="7"/>
                <w:rFonts w:hint="default" w:ascii="Sitka Small Semibold" w:hAnsi="Sitka Small Semibold" w:eastAsia="sans-serif" w:cs="Sitka Small Semibold"/>
                <w:color w:val="2E54A1" w:themeColor="accent1" w:themeShade="BF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Finding &amp; Vulnerability</w:t>
            </w:r>
          </w:p>
        </w:tc>
        <w:tc>
          <w:tcPr>
            <w:tcW w:w="2516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325B9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2E54A1" w:themeColor="accent1" w:themeShade="BF"/>
                <w:sz w:val="28"/>
                <w:szCs w:val="28"/>
              </w:rPr>
            </w:pPr>
            <w:r>
              <w:rPr>
                <w:rStyle w:val="7"/>
                <w:rFonts w:hint="default" w:ascii="Sitka Small Semibold" w:hAnsi="Sitka Small Semibold" w:eastAsia="sans-serif" w:cs="Sitka Small Semibold"/>
                <w:color w:val="2E54A1" w:themeColor="accent1" w:themeShade="BF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Risk Impact</w:t>
            </w:r>
          </w:p>
        </w:tc>
      </w:tr>
      <w:tr w14:paraId="13BB8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22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BC042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C65F10" w:themeColor="accent2" w:themeShade="BF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C65F10" w:themeColor="accent2" w:themeShade="BF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Audit Certification</w:t>
            </w:r>
          </w:p>
        </w:tc>
        <w:tc>
          <w:tcPr>
            <w:tcW w:w="248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2015C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C65F10" w:themeColor="accent2" w:themeShade="BF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C65F10" w:themeColor="accent2" w:themeShade="BF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SOC 2 Type II Provided (Unqualified)</w:t>
            </w:r>
          </w:p>
        </w:tc>
        <w:tc>
          <w:tcPr>
            <w:tcW w:w="416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EBA61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C65F10" w:themeColor="accent2" w:themeShade="BF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C65F10" w:themeColor="accent2" w:themeShade="BF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Audit covers past 12 months with zero exceptions noted in Trust Services Criteria.</w:t>
            </w:r>
          </w:p>
        </w:tc>
        <w:tc>
          <w:tcPr>
            <w:tcW w:w="2516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6FFDF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C65F10" w:themeColor="accent2" w:themeShade="BF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C65F10" w:themeColor="accent2" w:themeShade="BF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Low Risk</w:t>
            </w:r>
            <w:r>
              <w:rPr>
                <w:rFonts w:hint="default" w:ascii="Sitka Small Semibold" w:hAnsi="Sitka Small Semibold" w:eastAsia="sans-serif" w:cs="Sitka Small Semibold"/>
                <w:color w:val="C65F10" w:themeColor="accent2" w:themeShade="BF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 (Compliant)</w:t>
            </w:r>
          </w:p>
        </w:tc>
      </w:tr>
      <w:tr w14:paraId="179C4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22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6BE27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C65F10" w:themeColor="accent2" w:themeShade="BF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C65F10" w:themeColor="accent2" w:themeShade="BF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PCI-DSS Compliance</w:t>
            </w:r>
          </w:p>
        </w:tc>
        <w:tc>
          <w:tcPr>
            <w:tcW w:w="248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CD06A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C65F10" w:themeColor="accent2" w:themeShade="BF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C65F10" w:themeColor="accent2" w:themeShade="BF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AOC Provided</w:t>
            </w:r>
          </w:p>
        </w:tc>
        <w:tc>
          <w:tcPr>
            <w:tcW w:w="416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44902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C65F10" w:themeColor="accent2" w:themeShade="BF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C65F10" w:themeColor="accent2" w:themeShade="BF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Certified Level 1 Service Provider.</w:t>
            </w:r>
          </w:p>
        </w:tc>
        <w:tc>
          <w:tcPr>
            <w:tcW w:w="2516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358F5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C65F10" w:themeColor="accent2" w:themeShade="BF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C65F10" w:themeColor="accent2" w:themeShade="BF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Low Risk</w:t>
            </w:r>
            <w:r>
              <w:rPr>
                <w:rFonts w:hint="default" w:ascii="Sitka Small Semibold" w:hAnsi="Sitka Small Semibold" w:eastAsia="sans-serif" w:cs="Sitka Small Semibold"/>
                <w:color w:val="C65F10" w:themeColor="accent2" w:themeShade="BF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 (Compliant)</w:t>
            </w:r>
          </w:p>
        </w:tc>
      </w:tr>
      <w:tr w14:paraId="7F29A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22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28BDE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C81D31" w:themeColor="accent6" w:themeShade="BF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C81D31" w:themeColor="accent6" w:themeShade="BF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Access Control</w:t>
            </w:r>
          </w:p>
        </w:tc>
        <w:tc>
          <w:tcPr>
            <w:tcW w:w="248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42398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C81D31" w:themeColor="accent6" w:themeShade="BF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C81D31" w:themeColor="accent6" w:themeShade="BF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Self-Attestation</w:t>
            </w:r>
          </w:p>
        </w:tc>
        <w:tc>
          <w:tcPr>
            <w:tcW w:w="416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9809B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C81D31" w:themeColor="accent6" w:themeShade="BF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C81D31" w:themeColor="accent6" w:themeShade="BF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MFA enforced for staff, but emergency "break-glass" administrative accounts lack TOTP enforcement.</w:t>
            </w:r>
          </w:p>
        </w:tc>
        <w:tc>
          <w:tcPr>
            <w:tcW w:w="2516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F26C9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C81D31" w:themeColor="accent6" w:themeShade="BF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C81D31" w:themeColor="accent6" w:themeShade="BF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HIGH RISK</w:t>
            </w:r>
          </w:p>
        </w:tc>
      </w:tr>
      <w:tr w14:paraId="1B8992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22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4F345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F000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FF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Breach Notification</w:t>
            </w:r>
          </w:p>
        </w:tc>
        <w:tc>
          <w:tcPr>
            <w:tcW w:w="248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83C44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F000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FF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Contract Terms Draft</w:t>
            </w:r>
          </w:p>
        </w:tc>
        <w:tc>
          <w:tcPr>
            <w:tcW w:w="416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2AC84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F000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FF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Vendor contract lists 10-day breach notification window.</w:t>
            </w:r>
          </w:p>
        </w:tc>
        <w:tc>
          <w:tcPr>
            <w:tcW w:w="2516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CDE00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F000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FF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CRITICAL RISK</w:t>
            </w:r>
            <w:r>
              <w:rPr>
                <w:rFonts w:hint="default" w:ascii="Sitka Small Semibold" w:hAnsi="Sitka Small Semibold" w:eastAsia="sans-serif" w:cs="Sitka Small Semibold"/>
                <w:color w:val="FF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 (Violates ApexPay's 72-hour regulatory requirement)</w:t>
            </w:r>
          </w:p>
        </w:tc>
      </w:tr>
    </w:tbl>
    <w:p w14:paraId="7F94FF37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</w:p>
    <w:p w14:paraId="5B29918C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color w:val="18605A" w:themeColor="accent5" w:themeShade="80"/>
          <w:sz w:val="28"/>
          <w:szCs w:val="28"/>
        </w:rPr>
        <w:t>◎</w:t>
      </w:r>
      <w:r>
        <w:rPr>
          <w:rFonts w:hint="default" w:ascii="SimSun" w:hAnsi="SimSun" w:eastAsia="SimSun" w:cs="SimSun"/>
          <w:b/>
          <w:bCs/>
          <w:color w:val="18605A" w:themeColor="accent5" w:themeShade="80"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b/>
          <w:bCs/>
          <w:color w:val="18605A" w:themeColor="accent5" w:themeShade="80"/>
          <w:sz w:val="28"/>
          <w:szCs w:val="28"/>
        </w:rPr>
        <w:t>TPRM Risk Verdict: CONDITIONAL APPROVAL</w:t>
      </w:r>
    </w:p>
    <w:p w14:paraId="091E83B9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color w:val="0070C0"/>
          <w:sz w:val="28"/>
          <w:szCs w:val="28"/>
        </w:rPr>
        <w:t>◎</w:t>
      </w:r>
      <w:r>
        <w:rPr>
          <w:rFonts w:hint="default" w:ascii="SimSun" w:hAnsi="SimSun" w:eastAsia="SimSun" w:cs="SimSun"/>
          <w:b/>
          <w:bCs/>
          <w:color w:val="0070C0"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>Required Remediation Before Contract Sign-Off: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br w:type="textWrapping"/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br w:type="textWrapping"/>
      </w:r>
      <w:r>
        <w:rPr>
          <w:rFonts w:hint="default" w:ascii="Sitka Small Semibold" w:hAnsi="Sitka Small Semibold" w:eastAsia="sans-serif" w:cs="Sitka Small Semibold"/>
          <w:i/>
          <w:iCs/>
          <w:color w:val="4874CB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1. </w:t>
      </w:r>
      <w:r>
        <w:rPr>
          <w:rFonts w:hint="default" w:ascii="Sitka Small Semibold" w:hAnsi="Sitka Small Semibold" w:eastAsia="sans-serif" w:cs="Sitka Small Semibold"/>
          <w:i/>
          <w:iCs/>
          <w:color w:val="4874CB" w:themeColor="accent1"/>
          <w:sz w:val="28"/>
          <w:szCs w:val="28"/>
          <w14:textFill>
            <w14:solidFill>
              <w14:schemeClr w14:val="accent1"/>
            </w14:solidFill>
          </w14:textFill>
        </w:rPr>
        <w:t>Clause Amendment: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Vendor must contractually update breach notification SLA from 10 days to </w:t>
      </w: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within 48 hours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of confirmed incident detection.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  <w:r>
        <w:rPr>
          <w:rFonts w:hint="default" w:ascii="Sitka Small Semibold" w:hAnsi="Sitka Small Semibold" w:eastAsia="sans-serif" w:cs="Sitka Small Semibold"/>
          <w:i/>
          <w:iCs/>
          <w:color w:val="4874CB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2. </w:t>
      </w:r>
      <w:r>
        <w:rPr>
          <w:rFonts w:hint="default" w:ascii="Sitka Small Semibold" w:hAnsi="Sitka Small Semibold" w:eastAsia="sans-serif" w:cs="Sitka Small Semibold"/>
          <w:i/>
          <w:iCs/>
          <w:color w:val="4874CB" w:themeColor="accent1"/>
          <w:sz w:val="28"/>
          <w:szCs w:val="28"/>
          <w14:textFill>
            <w14:solidFill>
              <w14:schemeClr w14:val="accent1"/>
            </w14:solidFill>
          </w14:textFill>
        </w:rPr>
        <w:t>Access Remediation: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Vendor must enforce hardware-based MFA across all administrative and break-glass accounts.</w:t>
      </w:r>
    </w:p>
    <w:p w14:paraId="0AB50398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left="2522" w:leftChars="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</w:p>
    <w:p w14:paraId="3D52D746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color w:val="2E54A1" w:themeColor="accent1" w:themeShade="BF"/>
          <w:sz w:val="36"/>
          <w:szCs w:val="36"/>
        </w:rPr>
        <w:t>Case Study B: Mobihealth Evaluating "RadiologyAI Inc." (HealthTech)</w:t>
      </w:r>
    </w:p>
    <w:p w14:paraId="35FACC34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color w:val="0070C0"/>
          <w:sz w:val="28"/>
          <w:szCs w:val="28"/>
        </w:rPr>
        <w:t>◎</w:t>
      </w:r>
      <w:r>
        <w:rPr>
          <w:rFonts w:hint="default" w:ascii="SimSun" w:hAnsi="SimSun" w:eastAsia="SimSun" w:cs="SimSun"/>
          <w:b/>
          <w:bCs/>
          <w:color w:val="0070C0"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>Vendor Service: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Cloud-based AI diagnostic software for analyzing X-ray and CT scan imagery.</w:t>
      </w:r>
    </w:p>
    <w:p w14:paraId="25CA9FE9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color w:val="0070C0"/>
          <w:sz w:val="28"/>
          <w:szCs w:val="28"/>
        </w:rPr>
        <w:t>◎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>Inherent Risk: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</w:t>
      </w: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Tier 1 (Critical)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— Directly processes Protected Health Information (PHI) and diagnostic medical data.</w:t>
      </w:r>
    </w:p>
    <w:tbl>
      <w:tblPr>
        <w:tblW w:w="11633" w:type="dxa"/>
        <w:tblCellSpacing w:w="15" w:type="dxa"/>
        <w:tblInd w:w="-14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2"/>
        <w:gridCol w:w="2418"/>
        <w:gridCol w:w="3898"/>
        <w:gridCol w:w="3225"/>
      </w:tblGrid>
      <w:tr w14:paraId="72442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047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1FCD0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Style w:val="7"/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Evaluated Control</w:t>
            </w:r>
          </w:p>
        </w:tc>
        <w:tc>
          <w:tcPr>
            <w:tcW w:w="238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0CB34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Style w:val="7"/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Vendor Status / Artifact</w:t>
            </w:r>
          </w:p>
        </w:tc>
        <w:tc>
          <w:tcPr>
            <w:tcW w:w="386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BF9CF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Style w:val="7"/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Finding &amp; Vulnerability</w:t>
            </w:r>
          </w:p>
        </w:tc>
        <w:tc>
          <w:tcPr>
            <w:tcW w:w="318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F802C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Style w:val="7"/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Risk Impact</w:t>
            </w:r>
          </w:p>
        </w:tc>
      </w:tr>
      <w:tr w14:paraId="76015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47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46566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Audit Certification</w:t>
            </w:r>
          </w:p>
        </w:tc>
        <w:tc>
          <w:tcPr>
            <w:tcW w:w="238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8ACA8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ISO 27001 Certified</w:t>
            </w:r>
          </w:p>
        </w:tc>
        <w:tc>
          <w:tcPr>
            <w:tcW w:w="386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79C69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Certificate valid, but scope excludes regional sub-processors handling image rendering.</w:t>
            </w:r>
          </w:p>
        </w:tc>
        <w:tc>
          <w:tcPr>
            <w:tcW w:w="318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BF274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MEDIUM RISK</w:t>
            </w:r>
          </w:p>
        </w:tc>
      </w:tr>
      <w:tr w14:paraId="76CA2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47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E5131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HIPAA Compliance</w:t>
            </w:r>
          </w:p>
        </w:tc>
        <w:tc>
          <w:tcPr>
            <w:tcW w:w="238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AF200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BAA Draft</w:t>
            </w:r>
          </w:p>
        </w:tc>
        <w:tc>
          <w:tcPr>
            <w:tcW w:w="386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31418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Vendor refused to sign Mobihealth's standard Business Associate Agreement (BAA).</w:t>
            </w:r>
          </w:p>
        </w:tc>
        <w:tc>
          <w:tcPr>
            <w:tcW w:w="318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0B969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CRITICAL RISK</w:t>
            </w: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 (Direct HIPAA violation)</w:t>
            </w:r>
          </w:p>
        </w:tc>
      </w:tr>
      <w:tr w14:paraId="2F081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47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7F22E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Data Sovereignty</w:t>
            </w:r>
          </w:p>
        </w:tc>
        <w:tc>
          <w:tcPr>
            <w:tcW w:w="238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93F70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Architecture Map</w:t>
            </w:r>
          </w:p>
        </w:tc>
        <w:tc>
          <w:tcPr>
            <w:tcW w:w="386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8FA38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Diagnostic images are routed to US-East data centers for ML inference without local Nigerian/African storage options.</w:t>
            </w:r>
          </w:p>
        </w:tc>
        <w:tc>
          <w:tcPr>
            <w:tcW w:w="318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23F0C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CRITICAL RISK</w:t>
            </w: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 (Violates NDPA Section 41 Data Transfer rules)</w:t>
            </w:r>
          </w:p>
        </w:tc>
      </w:tr>
      <w:tr w14:paraId="0C794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47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28782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Data Encryption</w:t>
            </w:r>
          </w:p>
        </w:tc>
        <w:tc>
          <w:tcPr>
            <w:tcW w:w="238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4D1C0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Architectural Spec</w:t>
            </w:r>
          </w:p>
        </w:tc>
        <w:tc>
          <w:tcPr>
            <w:tcW w:w="386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28537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Data encrypted at rest via AES-256; TLS 1.2 enforced in transit.</w:t>
            </w:r>
          </w:p>
        </w:tc>
        <w:tc>
          <w:tcPr>
            <w:tcW w:w="318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811B4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Low Risk</w:t>
            </w: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 (Compliant)</w:t>
            </w:r>
          </w:p>
        </w:tc>
      </w:tr>
    </w:tbl>
    <w:p w14:paraId="7BEAB5B4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</w:p>
    <w:p w14:paraId="0ED6922F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color w:val="C81D31" w:themeColor="accent6" w:themeShade="BF"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color w:val="C81D31" w:themeColor="accent6" w:themeShade="BF"/>
          <w:sz w:val="28"/>
          <w:szCs w:val="28"/>
        </w:rPr>
        <w:t>◎</w:t>
      </w:r>
      <w:r>
        <w:rPr>
          <w:rFonts w:hint="default" w:ascii="Sitka Small Semibold" w:hAnsi="Sitka Small Semibold" w:eastAsia="sans-serif" w:cs="Sitka Small Semibold"/>
          <w:b/>
          <w:bCs/>
          <w:color w:val="C81D31" w:themeColor="accent6" w:themeShade="BF"/>
          <w:sz w:val="28"/>
          <w:szCs w:val="28"/>
        </w:rPr>
        <w:t>TPRM Risk Verdict:</w:t>
      </w:r>
      <w:r>
        <w:rPr>
          <w:rFonts w:hint="default" w:ascii="Sitka Small Semibold" w:hAnsi="Sitka Small Semibold" w:eastAsia="sans-serif" w:cs="Sitka Small Semibold"/>
          <w:color w:val="C81D31" w:themeColor="accent6" w:themeShade="BF"/>
          <w:sz w:val="28"/>
          <w:szCs w:val="28"/>
        </w:rPr>
        <w:t xml:space="preserve"> </w:t>
      </w:r>
      <w:r>
        <w:rPr>
          <w:rFonts w:hint="default" w:ascii="Sitka Small Semibold" w:hAnsi="Sitka Small Semibold" w:eastAsia="sans-serif" w:cs="Sitka Small Semibold"/>
          <w:b/>
          <w:bCs/>
          <w:color w:val="C81D31" w:themeColor="accent6" w:themeShade="BF"/>
          <w:sz w:val="28"/>
          <w:szCs w:val="28"/>
        </w:rPr>
        <w:t>REJECTED / UNAPPROVED</w:t>
      </w:r>
    </w:p>
    <w:p w14:paraId="1BDD3D6B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color w:val="851321" w:themeColor="accent6" w:themeShade="80"/>
          <w:sz w:val="28"/>
          <w:szCs w:val="28"/>
        </w:rPr>
        <w:t>◎</w:t>
      </w:r>
      <w:r>
        <w:rPr>
          <w:rFonts w:hint="default" w:ascii="Sitka Small Semibold" w:hAnsi="Sitka Small Semibold" w:eastAsia="sans-serif" w:cs="Sitka Small Semibold"/>
          <w:b/>
          <w:bCs/>
          <w:color w:val="851321" w:themeColor="accent6" w:themeShade="80"/>
          <w:sz w:val="28"/>
          <w:szCs w:val="28"/>
        </w:rPr>
        <w:t>Justification: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Proceeding without an executed HIPAA Business Associate Agreement (BAA) and without compliant NDPA cross-border data transfer mechanisms creates unmitigated legal and financial exposure for Mobihealth. Vendor must re-architect data pipelines and sign required DPAs/BAAs before re-evaluation.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</w:p>
    <w:p w14:paraId="32042404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color w:val="2E54A1" w:themeColor="accent1" w:themeShade="BF"/>
          <w:sz w:val="36"/>
          <w:szCs w:val="36"/>
        </w:rPr>
      </w:pPr>
      <w:r>
        <w:rPr>
          <w:rFonts w:hint="default" w:ascii="Sitka Small Semibold" w:hAnsi="Sitka Small Semibold" w:eastAsia="sans-serif" w:cs="Sitka Small Semibold"/>
          <w:color w:val="2E54A1" w:themeColor="accent1" w:themeShade="BF"/>
          <w:sz w:val="36"/>
          <w:szCs w:val="36"/>
        </w:rPr>
        <w:t>4. Key TPRM Contractual Safeguards (Security Addendum)</w:t>
      </w:r>
    </w:p>
    <w:p w14:paraId="037622C2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color w:val="C65F10" w:themeColor="accent2" w:themeShade="BF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color w:val="C65F10" w:themeColor="accent2" w:themeShade="BF"/>
          <w:sz w:val="28"/>
          <w:szCs w:val="28"/>
        </w:rPr>
        <w:t xml:space="preserve">Every vendor agreement for Tier 1 and Tier 2 suppliers should incorporate a binding </w:t>
      </w:r>
      <w:r>
        <w:rPr>
          <w:rFonts w:hint="default" w:ascii="Sitka Small Semibold" w:hAnsi="Sitka Small Semibold" w:eastAsia="sans-serif" w:cs="Sitka Small Semibold"/>
          <w:b/>
          <w:bCs/>
          <w:color w:val="C65F10" w:themeColor="accent2" w:themeShade="BF"/>
          <w:sz w:val="28"/>
          <w:szCs w:val="28"/>
        </w:rPr>
        <w:t>Information Security Addendum (ISA)</w:t>
      </w:r>
      <w:r>
        <w:rPr>
          <w:rFonts w:hint="default" w:ascii="Sitka Small Semibold" w:hAnsi="Sitka Small Semibold" w:eastAsia="sans-serif" w:cs="Sitka Small Semibold"/>
          <w:color w:val="C65F10" w:themeColor="accent2" w:themeShade="BF"/>
          <w:sz w:val="28"/>
          <w:szCs w:val="28"/>
        </w:rPr>
        <w:t xml:space="preserve"> containing these three non-negotiable clauses:</w:t>
      </w:r>
    </w:p>
    <w:p w14:paraId="48E06D2D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 w:right="72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>1. Right-to-Audit Clause:</w:t>
      </w:r>
      <w:r>
        <w:rPr>
          <w:rFonts w:hint="default" w:ascii="Sitka Small Semibold" w:hAnsi="Sitka Small Semibold" w:eastAsia="sans-serif" w:cs="Sitka Small Semibold"/>
          <w:color w:val="0070C0"/>
          <w:sz w:val="28"/>
          <w:szCs w:val="28"/>
        </w:rPr>
        <w:t xml:space="preserve"> 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>"Customer (or its designated third-party auditor) reserves the right, upon 14 business days' written notice, to conduct an annual audit of Vendor’s security controls, policies, and facilities relevant to the services provided."</w:t>
      </w:r>
    </w:p>
    <w:p w14:paraId="5D8A597A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 w:right="72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>2. Incident Notification SLA: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"Vendor shall notify Customer in writing within no more than forty-eight (48) hours of discovering or reasonably suspecting any Security Incident or unauthorized access affecting Customer Data."</w:t>
      </w:r>
    </w:p>
    <w:p w14:paraId="217F23EA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 w:right="720"/>
        <w:rPr>
          <w:rFonts w:hint="default" w:ascii="Sitka Small Semibold" w:hAnsi="Sitka Small Semibold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>3. Data Return &amp; Destruction Mandate: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"Upon termination of the Agreement, Vendor shall, within thirty (30) days, securely return or cryptographically erase all Customer Data in accordance with NIST SP 800-88 Rev. 1</w:t>
      </w:r>
      <w:bookmarkStart w:id="0" w:name="_GoBack"/>
      <w:bookmarkEnd w:id="0"/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standards and provide a certified Certificate of Destruction."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itka Small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AE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3073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2026-08-05T08:16:13Z</dcterms:created>
  <dc:creator>User</dc:creator>
  <cp:lastModifiedBy>Divine E. SMART</cp:lastModifiedBy>
  <dcterms:modified xsi:type="dcterms:W3CDTF">2026-08-07T11:29:22Z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eyJoZGlkIjoiNjZhOTVlY2ZhZDVlZDE0YTBmOTJhYTIwNzAyZjc4Y2MiLCJ1c2VySWQiOiIxNjY3MDc4MDUzMTUwIn0=</vt:lpwstr>
  </property>
  <property fmtid="{D5CDD505-2E9C-101B-9397-08002B2CF9AE}" pid="4" name="ICV">
    <vt:lpwstr>DFB5067CB6C4401DA9229F9102EAAB96_12</vt:lpwstr>
  </property>
</Properties>
</file>