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391A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EXECUTIVE BRIEF</w:t>
      </w:r>
      <w:r>
        <w:rPr>
          <w:rFonts w:hint="default" w:ascii="Sitka Small Semibold" w:hAnsi="Sitka Small Semibold" w:eastAsia="sans-serif" w:cs="Sitka Small Semibold"/>
        </w:rPr>
        <w:br w:type="textWrapping"/>
      </w:r>
    </w:p>
    <w:p w14:paraId="53A2FC4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TO: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Board of Directors &amp; Executive Leadership</w:t>
      </w:r>
    </w:p>
    <w:p w14:paraId="2D15F4C3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FROM: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Chief Information Security Officer (CISO) &amp; Lead Cyber Risk Analyst</w:t>
      </w:r>
    </w:p>
    <w:p w14:paraId="49F574C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DATE: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August 2, 2026</w:t>
      </w:r>
    </w:p>
    <w:p w14:paraId="012FB35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SUBJECT: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Telehealth Business Impact Analysis (BIA) Key Findings &amp; Risk Mitigation Strategy</w:t>
      </w: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br w:type="textWrapping"/>
      </w:r>
    </w:p>
    <w:p w14:paraId="111F151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right="720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36"/>
          <w:szCs w:val="36"/>
        </w:rPr>
        <w:t>Bottom Line Up Front (BLUF):</w:t>
      </w:r>
    </w:p>
    <w:p w14:paraId="41EF62C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righ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Unplanned downtime in Mobihealth’s core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Real-Time Teleconsultation Engine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or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EMR/PHI Vault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directly jeopardizes patient clinical safety, incurs an estimated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$18,000 per hour in revenue loss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, and triggers catastrophic regulatory penalties under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HIPAA (US)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,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NDPA (Nigeria)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, and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GDPR (UK/EU)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. Strategic technical investments in multi-region database synchronization and dual-WAN resilience for remote clinics are required to maintain our target 15-minute recovery objective.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18CD2FF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1. High-Criticality Service Exposure</w:t>
      </w:r>
    </w:p>
    <w:p w14:paraId="2B7D83F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Our recent Business Impact Analysis (BIA) evaluated operational, clinical, financial, and regulatory risks across Mobihealth's global digital health portal and remote Hope Clinics:</w:t>
      </w:r>
    </w:p>
    <w:tbl>
      <w:tblPr>
        <w:tblW w:w="11163" w:type="dxa"/>
        <w:tblCellSpacing w:w="15" w:type="dxa"/>
        <w:tblInd w:w="-11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2"/>
        <w:gridCol w:w="1878"/>
        <w:gridCol w:w="1275"/>
        <w:gridCol w:w="1238"/>
        <w:gridCol w:w="1926"/>
        <w:gridCol w:w="2224"/>
      </w:tblGrid>
      <w:tr w14:paraId="402EB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7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3E72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Business Process</w:t>
            </w:r>
          </w:p>
        </w:tc>
        <w:tc>
          <w:tcPr>
            <w:tcW w:w="18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BBA2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Criticality Tier</w:t>
            </w:r>
          </w:p>
        </w:tc>
        <w:tc>
          <w:tcPr>
            <w:tcW w:w="12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A256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Target RTO</w:t>
            </w:r>
          </w:p>
        </w:tc>
        <w:tc>
          <w:tcPr>
            <w:tcW w:w="12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C9E4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Target RPO</w:t>
            </w:r>
          </w:p>
        </w:tc>
        <w:tc>
          <w:tcPr>
            <w:tcW w:w="189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5E83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Financial &amp; Clinical Exposure</w:t>
            </w:r>
          </w:p>
        </w:tc>
        <w:tc>
          <w:tcPr>
            <w:tcW w:w="217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8294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Primary Regulatory Driver</w:t>
            </w:r>
          </w:p>
        </w:tc>
      </w:tr>
      <w:tr w14:paraId="685BB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DF4C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Teleconsultation Video Engine</w:t>
            </w:r>
          </w:p>
        </w:tc>
        <w:tc>
          <w:tcPr>
            <w:tcW w:w="18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46617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Tier 1 (Life-Critical)</w:t>
            </w:r>
          </w:p>
        </w:tc>
        <w:tc>
          <w:tcPr>
            <w:tcW w:w="12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77AF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15 mins</w:t>
            </w:r>
          </w:p>
        </w:tc>
        <w:tc>
          <w:tcPr>
            <w:tcW w:w="12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29AE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 mins</w:t>
            </w:r>
          </w:p>
        </w:tc>
        <w:tc>
          <w:tcPr>
            <w:tcW w:w="189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31E8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$18,000 / hr; disrupted clinical visits &amp; triage.</w:t>
            </w:r>
          </w:p>
        </w:tc>
        <w:tc>
          <w:tcPr>
            <w:tcW w:w="217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7326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Licensing Board Breach of Duty</w:t>
            </w:r>
          </w:p>
        </w:tc>
      </w:tr>
      <w:tr w14:paraId="2023C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DE3A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EMR / PHI Vault</w:t>
            </w:r>
          </w:p>
        </w:tc>
        <w:tc>
          <w:tcPr>
            <w:tcW w:w="18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0348E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Tier 1 (Mission-Critical)</w:t>
            </w:r>
          </w:p>
        </w:tc>
        <w:tc>
          <w:tcPr>
            <w:tcW w:w="12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9F44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30 mins</w:t>
            </w:r>
          </w:p>
        </w:tc>
        <w:tc>
          <w:tcPr>
            <w:tcW w:w="12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CA77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 mins</w:t>
            </w:r>
          </w:p>
        </w:tc>
        <w:tc>
          <w:tcPr>
            <w:tcW w:w="189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10C4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Clinicians locked out of patient medical histories.</w:t>
            </w:r>
          </w:p>
        </w:tc>
        <w:tc>
          <w:tcPr>
            <w:tcW w:w="217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C6D3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40D0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E40D0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HIPAA / NDPA / GDPR Non-Compliance</w:t>
            </w:r>
          </w:p>
        </w:tc>
      </w:tr>
      <w:tr w14:paraId="51ED0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802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E-Prescription &amp; Lab Dispatch</w:t>
            </w:r>
          </w:p>
        </w:tc>
        <w:tc>
          <w:tcPr>
            <w:tcW w:w="18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1F1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Tier 2 (Patient-Critical)</w:t>
            </w:r>
          </w:p>
        </w:tc>
        <w:tc>
          <w:tcPr>
            <w:tcW w:w="12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2D1D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hour</w:t>
            </w:r>
          </w:p>
        </w:tc>
        <w:tc>
          <w:tcPr>
            <w:tcW w:w="12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5D76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15 mins</w:t>
            </w:r>
          </w:p>
        </w:tc>
        <w:tc>
          <w:tcPr>
            <w:tcW w:w="189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6DCC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Delayed life-saving medication dispatches.</w:t>
            </w:r>
          </w:p>
        </w:tc>
        <w:tc>
          <w:tcPr>
            <w:tcW w:w="217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60A5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Medical Board Prescription Rules</w:t>
            </w:r>
          </w:p>
        </w:tc>
      </w:tr>
      <w:tr w14:paraId="69296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22FB9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Hope Clinic Telemetry</w:t>
            </w:r>
          </w:p>
        </w:tc>
        <w:tc>
          <w:tcPr>
            <w:tcW w:w="18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3B61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Tier 2 (Patient-Critical)</w:t>
            </w:r>
          </w:p>
        </w:tc>
        <w:tc>
          <w:tcPr>
            <w:tcW w:w="12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70CC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 hours</w:t>
            </w:r>
          </w:p>
        </w:tc>
        <w:tc>
          <w:tcPr>
            <w:tcW w:w="120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543D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 hour</w:t>
            </w:r>
          </w:p>
        </w:tc>
        <w:tc>
          <w:tcPr>
            <w:tcW w:w="189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3D4D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Disrupted remote health access in rural clinics.</w:t>
            </w:r>
          </w:p>
        </w:tc>
        <w:tc>
          <w:tcPr>
            <w:tcW w:w="2179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E5AA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40C18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40C18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NGO / Grant SLA Commitments</w:t>
            </w:r>
          </w:p>
        </w:tc>
      </w:tr>
    </w:tbl>
    <w:p w14:paraId="21161EA2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t>2. Key Findings &amp; Vulnerability Exposure</w:t>
      </w:r>
    </w:p>
    <w:p w14:paraId="3D3E44F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1.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Cross-Border PHI Replication Bottlenecks:</w:t>
      </w:r>
    </w:p>
    <w:p w14:paraId="28FA946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Latency between global cloud nodes during peak consultation hours introduces database write lags for Electronic Medical Records (EMR). Standard database restoration procedures exceed our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30-minute RTO target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, creating regulatory compliance exposure under NDPA data residency rules and HIPAA Security guidelines.</w:t>
      </w:r>
    </w:p>
    <w:p w14:paraId="7D99EA4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2.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Satellite Dependency at Remote Hope Clinics:</w:t>
      </w:r>
    </w:p>
    <w:p w14:paraId="125D9BD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Rural solar/satellite Hope Clinics rely on a single Starlink terminal without automated multi-WAN failover. Adverse weather or satellite degradation severs real-time telemetry and specialist access during critical rural patient visits.</w:t>
      </w:r>
    </w:p>
    <w:p w14:paraId="7B17E94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  <w:lang w:val="en-US"/>
        </w:rPr>
        <w:t xml:space="preserve">3.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E-Prescription Pipeline Dependency:</w:t>
      </w:r>
    </w:p>
    <w:p w14:paraId="7D6D8A8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A cloud connectivity disruption halts automated e-prescription routing to partner pharmacies, creating an operational bottleneck with no offline cryptographically verified fallback.</w:t>
      </w:r>
    </w:p>
    <w:p w14:paraId="0D9345B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603483D7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3. Recommended Strategic Investments &amp; Mitigation Roadmap</w:t>
      </w:r>
    </w:p>
    <w:p w14:paraId="7AD1FC8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To safeguard patient outcomes and ensure strict multi-jurisdictional compliance, leadership approval is requested for the following Q3/Q4 2026 initiatives:</w:t>
      </w:r>
    </w:p>
    <w:p w14:paraId="6C5BAB6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Initiative 1: Active-Active Multi-Region EMR Replication</w:t>
      </w:r>
    </w:p>
    <w:p w14:paraId="60FF973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Upgrade EMR infrastructure to an active-active distributed architecture with localized data residency enclaves.</w:t>
      </w:r>
    </w:p>
    <w:p w14:paraId="40FEC45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Benefit: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Guarantees compliance with NDPA local residency laws while achieving sub-30-minute RTO and zero data loss (RPO = 0).</w:t>
      </w:r>
    </w:p>
    <w:p w14:paraId="5B7FFDD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04F0387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Initiative 2: Dual-WAN Auto-Failover Deployment for Hope Clinics</w:t>
      </w:r>
    </w:p>
    <w:p w14:paraId="7586AE4B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Install industrial 4G/5G dual-SIM cellular failover routers at all remote Hope Clinic nodes.</w:t>
      </w:r>
    </w:p>
    <w:p w14:paraId="608807A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Benefit: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Maintains low-bandwidth audio/text triage links if primary satellite connectivity drops.</w:t>
      </w:r>
    </w:p>
    <w:p w14:paraId="7572B7A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  <w:sz w:val="28"/>
          <w:szCs w:val="28"/>
        </w:rPr>
      </w:pPr>
      <w:bookmarkStart w:id="0" w:name="_GoBack"/>
      <w:bookmarkEnd w:id="0"/>
    </w:p>
    <w:p w14:paraId="5AD5F26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Initiative 3: Offline Digital Prescription Fallback Protocol</w:t>
      </w:r>
    </w:p>
    <w:p w14:paraId="0E2F51B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Deploy a cryptographically signed offline prescription signing tool for clinicians.</w:t>
      </w:r>
    </w:p>
    <w:p w14:paraId="492E39F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itka Small Semibold" w:hAnsi="Sitka Small Semibold" w:eastAsia="sans-serif" w:cs="Sitka Small Semibold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Benefit: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Allows prescription dispatch directly to verified partner pharmacies during cloud outages.</w:t>
      </w:r>
      <w:r>
        <w:rPr>
          <w:rFonts w:hint="default" w:ascii="Sitka Small Semibold" w:hAnsi="Sitka Small Semibold" w:eastAsia="sans-serif" w:cs="Sitka Small Semibold"/>
        </w:rPr>
        <w:br w:type="textWrapping"/>
      </w:r>
      <w:r>
        <w:rPr>
          <w:rFonts w:hint="default" w:ascii="Sitka Small Semibold" w:hAnsi="Sitka Small Semibold" w:eastAsia="sans-serif" w:cs="Sitka Small Semibold"/>
        </w:rPr>
        <w:br w:type="textWrapping"/>
      </w:r>
    </w:p>
    <w:p w14:paraId="7D7C4B9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</w:rPr>
        <w:t>4. Next Steps &amp; Governance Actions</w:t>
      </w:r>
    </w:p>
    <w:p w14:paraId="2605A1E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Executive authorization for the Q3/Q4 infrastructure resilience budget allocation.</w:t>
      </w:r>
    </w:p>
    <w:p w14:paraId="0C32716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Formal adoption of the updated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 xml:space="preserve">Telehealth Data Privacy &amp; Protection Policy </w:t>
      </w:r>
      <w:r>
        <w:rPr>
          <w:rFonts w:hint="default" w:ascii="Sitka Small Semibold" w:hAnsi="Sitka Small Semibold" w:eastAsia="sans-serif" w:cs="Sitka Small Semibold"/>
          <w:b w:val="0"/>
          <w:bCs w:val="0"/>
          <w:color w:val="1E386B" w:themeColor="accent1" w:themeShade="80"/>
          <w:sz w:val="28"/>
          <w:szCs w:val="28"/>
          <w:u w:val="thick"/>
        </w:rPr>
        <w:t>(POL-GRC-HEALTH-004)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.</w:t>
      </w:r>
    </w:p>
    <w:p w14:paraId="52C8B71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Execution of a multi-jurisdictional Disaster Recovery (DR) and breach response simulation in Q4 2026.</w:t>
      </w:r>
    </w:p>
    <w:p w14:paraId="77DD8F08">
      <w:pPr>
        <w:rPr>
          <w:rFonts w:hint="default" w:ascii="Sitka Small Semibold" w:hAnsi="Sitka Small Semibold" w:cs="Sitka Small Semibol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FB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2026-08-02T19:38:29Z</dcterms:created>
  <dc:creator>User</dc:creator>
  <cp:lastModifiedBy>Divine E. SMART</cp:lastModifiedBy>
  <dcterms:modified xsi:type="dcterms:W3CDTF">2026-08-03T00:39:02Z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eyJoZGlkIjoiNjZhOTVlY2ZhZDVlZDE0YTBmOTJhYTIwNzAyZjc4Y2MiLCJ1c2VySWQiOiIxNjY3MDc4MDUzMTUwIn0=</vt:lpwstr>
  </property>
  <property fmtid="{D5CDD505-2E9C-101B-9397-08002B2CF9AE}" pid="4" name="ICV">
    <vt:lpwstr>A65CF34C68864F7B9E7632BD713C1E73_12</vt:lpwstr>
  </property>
</Properties>
</file>