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C2B74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NIST CSF 2.0 GAP ANALYSIS</w:t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t>(ApexPay Solutions)</w:t>
      </w:r>
    </w:p>
    <w:p w14:paraId="0896815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1. Scope &amp; Business Context</w:t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ApexPay is a fast-growing payment gateway API processing high-volume transactions. The core security objective is securing transaction pipelines, preventing payment fraud, ensuring API security, and maintaining PCI-DSS and financial regulation alignment.</w:t>
      </w:r>
    </w:p>
    <w:p w14:paraId="33F5681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2. ApexPay NIST CSF 2.0 Gap Analysis Matrix</w:t>
      </w:r>
    </w:p>
    <w:tbl>
      <w:tblPr>
        <w:tblW w:w="11643" w:type="dxa"/>
        <w:tblCellSpacing w:w="15" w:type="dxa"/>
        <w:tblInd w:w="-143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24"/>
        <w:gridCol w:w="2123"/>
        <w:gridCol w:w="2245"/>
        <w:gridCol w:w="2143"/>
        <w:gridCol w:w="1653"/>
      </w:tblGrid>
      <w:tr w14:paraId="5DA23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34" w:hRule="atLeast"/>
          <w:tblHeader/>
          <w:tblCellSpacing w:w="15" w:type="dxa"/>
        </w:trPr>
        <w:tc>
          <w:tcPr>
            <w:tcW w:w="171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7B75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CSF 2.0 Category</w:t>
            </w:r>
          </w:p>
        </w:tc>
        <w:tc>
          <w:tcPr>
            <w:tcW w:w="16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0986F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Subcategory Control</w:t>
            </w:r>
          </w:p>
        </w:tc>
        <w:tc>
          <w:tcPr>
            <w:tcW w:w="209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6013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Current State (Implementation)</w:t>
            </w:r>
          </w:p>
        </w:tc>
        <w:tc>
          <w:tcPr>
            <w:tcW w:w="221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17361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Target State (Maturity)</w:t>
            </w:r>
          </w:p>
        </w:tc>
        <w:tc>
          <w:tcPr>
            <w:tcW w:w="211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2E76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Gap Description</w:t>
            </w:r>
          </w:p>
        </w:tc>
        <w:tc>
          <w:tcPr>
            <w:tcW w:w="16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CF21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Risk Level</w:t>
            </w:r>
          </w:p>
        </w:tc>
      </w:tr>
      <w:tr w14:paraId="3377F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9" w:hRule="atLeast"/>
          <w:tblCellSpacing w:w="15" w:type="dxa"/>
        </w:trPr>
        <w:tc>
          <w:tcPr>
            <w:tcW w:w="171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1225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Govern (GV.RM-01)</w:t>
            </w:r>
          </w:p>
        </w:tc>
        <w:tc>
          <w:tcPr>
            <w:tcW w:w="16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CFDB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Risk Management Strategy</w:t>
            </w:r>
          </w:p>
        </w:tc>
        <w:tc>
          <w:tcPr>
            <w:tcW w:w="209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314A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Risk evaluation is conducted ad-hoc before major product releases.</w:t>
            </w:r>
          </w:p>
        </w:tc>
        <w:tc>
          <w:tcPr>
            <w:tcW w:w="221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CC78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Formalized, continuous risk assessment policy with defined executive risk tolerance metrics.</w:t>
            </w:r>
          </w:p>
        </w:tc>
        <w:tc>
          <w:tcPr>
            <w:tcW w:w="211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97F8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No documented risk appetite statement or formal GRC review gate in the software release pipeline.</w:t>
            </w:r>
          </w:p>
        </w:tc>
        <w:tc>
          <w:tcPr>
            <w:tcW w:w="16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5C86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HIGH</w:t>
            </w:r>
          </w:p>
        </w:tc>
      </w:tr>
      <w:tr w14:paraId="19419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B32DB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Identify (ID.AM-01)</w:t>
            </w:r>
          </w:p>
        </w:tc>
        <w:tc>
          <w:tcPr>
            <w:tcW w:w="16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9C9B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Asset Management</w:t>
            </w:r>
          </w:p>
        </w:tc>
        <w:tc>
          <w:tcPr>
            <w:tcW w:w="209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142D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Cloud infrastructure in AWS production is tracked via Infrastructure-as-Code.</w:t>
            </w:r>
          </w:p>
        </w:tc>
        <w:tc>
          <w:tcPr>
            <w:tcW w:w="221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4F37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Complete asset inventory covering production, staging, and legacy microservices</w:t>
            </w:r>
          </w:p>
        </w:tc>
        <w:tc>
          <w:tcPr>
            <w:tcW w:w="211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A3AC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Unmonitored "shadow" microservices and staging databases exist in secondary cloud regions without central logging.</w:t>
            </w:r>
          </w:p>
        </w:tc>
        <w:tc>
          <w:tcPr>
            <w:tcW w:w="16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C3030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MEDIUM</w:t>
            </w:r>
          </w:p>
        </w:tc>
      </w:tr>
      <w:tr w14:paraId="29AED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38CE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Protect (PR.AA-01)</w:t>
            </w:r>
          </w:p>
        </w:tc>
        <w:tc>
          <w:tcPr>
            <w:tcW w:w="16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572C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Identity &amp; Access Control</w:t>
            </w:r>
          </w:p>
        </w:tc>
        <w:tc>
          <w:tcPr>
            <w:tcW w:w="209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FC78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Engineers use SSO for AWS access, but legacy admin portals use password-only auth.</w:t>
            </w:r>
          </w:p>
        </w:tc>
        <w:tc>
          <w:tcPr>
            <w:tcW w:w="221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F216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Mandatory Multi-Factor Authentication (MFA) and Zero-Trust RBAC across all environments.</w:t>
            </w:r>
          </w:p>
        </w:tc>
        <w:tc>
          <w:tcPr>
            <w:tcW w:w="211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27FE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Multi-Factor Authentication is missing on internal database management consoles.</w:t>
            </w:r>
          </w:p>
        </w:tc>
        <w:tc>
          <w:tcPr>
            <w:tcW w:w="16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A2F1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CRITICAL</w:t>
            </w:r>
          </w:p>
        </w:tc>
      </w:tr>
      <w:tr w14:paraId="672CF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1E5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Detect (DE.CM-01)</w:t>
            </w:r>
          </w:p>
        </w:tc>
        <w:tc>
          <w:tcPr>
            <w:tcW w:w="16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8BBE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Continuous Security Monitoring</w:t>
            </w:r>
          </w:p>
        </w:tc>
        <w:tc>
          <w:tcPr>
            <w:tcW w:w="209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2C1D6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Centralized logging into AWS CloudWatch exists.</w:t>
            </w:r>
          </w:p>
        </w:tc>
        <w:tc>
          <w:tcPr>
            <w:tcW w:w="221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7D15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Automated SIEM alerting with real-time API anomaly detection.</w:t>
            </w:r>
          </w:p>
        </w:tc>
        <w:tc>
          <w:tcPr>
            <w:tcW w:w="211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7409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Logs are stored, but security operations lack automated alerts for anomalous API transaction spikes or brute-force attempts.</w:t>
            </w:r>
          </w:p>
        </w:tc>
        <w:tc>
          <w:tcPr>
            <w:tcW w:w="16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240D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HIGH</w:t>
            </w:r>
          </w:p>
        </w:tc>
      </w:tr>
      <w:tr w14:paraId="262B5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9F18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Respond (RS.MA-01)</w:t>
            </w:r>
            <w:bookmarkStart w:id="0" w:name="_GoBack"/>
            <w:bookmarkEnd w:id="0"/>
          </w:p>
        </w:tc>
        <w:tc>
          <w:tcPr>
            <w:tcW w:w="16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A288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Incident Management</w:t>
            </w:r>
          </w:p>
        </w:tc>
        <w:tc>
          <w:tcPr>
            <w:tcW w:w="209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57A2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Generic incident response steps exist in a shared team wiki.</w:t>
            </w:r>
          </w:p>
        </w:tc>
        <w:tc>
          <w:tcPr>
            <w:tcW w:w="221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CB01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Role-specific, scenario-tested playbooks for financial API breaches and key compromise.</w:t>
            </w:r>
          </w:p>
        </w:tc>
        <w:tc>
          <w:tcPr>
            <w:tcW w:w="211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A89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No specific playbook for compromised API keys or merchant credential stuffing attacks.</w:t>
            </w:r>
          </w:p>
        </w:tc>
        <w:tc>
          <w:tcPr>
            <w:tcW w:w="16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8AFC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HIGH</w:t>
            </w:r>
          </w:p>
        </w:tc>
      </w:tr>
      <w:tr w14:paraId="181C0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181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Recover (RC.RP-01)</w:t>
            </w:r>
          </w:p>
        </w:tc>
        <w:tc>
          <w:tcPr>
            <w:tcW w:w="16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E1ED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Recovery Execution</w:t>
            </w:r>
          </w:p>
        </w:tc>
        <w:tc>
          <w:tcPr>
            <w:tcW w:w="209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44C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Offsite database backups are performed nightly.</w:t>
            </w:r>
          </w:p>
        </w:tc>
        <w:tc>
          <w:tcPr>
            <w:tcW w:w="221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6BCA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Automated failover drills with verified sub-15-minute RTO.</w:t>
            </w:r>
          </w:p>
        </w:tc>
        <w:tc>
          <w:tcPr>
            <w:tcW w:w="211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B56D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Backup restoration is rarely tested under simulated regional cloud outage conditions.</w:t>
            </w:r>
          </w:p>
        </w:tc>
        <w:tc>
          <w:tcPr>
            <w:tcW w:w="16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320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MEDIUM</w:t>
            </w:r>
          </w:p>
        </w:tc>
      </w:tr>
    </w:tbl>
    <w:p w14:paraId="69518A0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3. ApexPay Prioritized Remediation Roadmap</w:t>
      </w:r>
      <w:r>
        <w:rPr>
          <w:rFonts w:hint="default" w:ascii="Sitka Small Semibold" w:hAnsi="Sitka Small Semibold" w:eastAsia="sans-serif" w:cs="Sitka Small Semibold"/>
          <w:sz w:val="36"/>
          <w:szCs w:val="36"/>
        </w:rPr>
        <w:br w:type="textWrapping"/>
      </w:r>
    </w:p>
    <w:p w14:paraId="4A57D749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 w:leftChars="0"/>
        <w:jc w:val="left"/>
        <w:rPr>
          <w:rStyle w:val="7"/>
          <w:rFonts w:hint="default" w:ascii="Sitka Small Semibold" w:hAnsi="Sitka Small Semibold" w:eastAsia="sans-serif" w:cs="Sitka Small Semibold"/>
          <w:sz w:val="24"/>
          <w:szCs w:val="24"/>
          <w:lang w:val="en-US"/>
        </w:rPr>
      </w:pPr>
      <w:r>
        <w:rPr>
          <w:rStyle w:val="7"/>
          <w:rFonts w:hint="default" w:ascii="Sitka Small Semibold" w:hAnsi="Sitka Small Semibold" w:eastAsia="sans-serif" w:cs="Sitka Small Semibold"/>
          <w:color w:val="0070C0"/>
          <w:sz w:val="24"/>
          <w:szCs w:val="24"/>
        </w:rPr>
        <w:t>Phase 1:</w:t>
      </w:r>
      <w:r>
        <w:rPr>
          <w:rStyle w:val="7"/>
          <w:rFonts w:hint="default" w:ascii="Sitka Small Semibold" w:hAnsi="Sitka Small Semibold" w:eastAsia="sans-serif" w:cs="Sitka Small Semibold"/>
          <w:sz w:val="24"/>
          <w:szCs w:val="24"/>
        </w:rPr>
        <w:t xml:space="preserve"> Immediate (0–30 Days)  ──► Mandate MFA across ALL admin endpoints (PR.AA-01)</w:t>
      </w:r>
      <w:r>
        <w:rPr>
          <w:rStyle w:val="7"/>
          <w:rFonts w:hint="default" w:ascii="Sitka Small Semibold" w:hAnsi="Sitka Small Semibold" w:eastAsia="sans-serif" w:cs="Sitka Small Semibold"/>
          <w:sz w:val="24"/>
          <w:szCs w:val="24"/>
          <w:lang w:val="en-US"/>
        </w:rPr>
        <w:t>.</w:t>
      </w:r>
      <w:r>
        <w:rPr>
          <w:rStyle w:val="7"/>
          <w:rFonts w:hint="default" w:ascii="Sitka Small Semibold" w:hAnsi="Sitka Small Semibold" w:eastAsia="sans-serif" w:cs="Sitka Small Semibold"/>
          <w:sz w:val="24"/>
          <w:szCs w:val="24"/>
          <w:lang w:val="en-US"/>
        </w:rPr>
        <w:br w:type="textWrapping"/>
      </w:r>
    </w:p>
    <w:p w14:paraId="069061DE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 w:leftChars="0"/>
        <w:jc w:val="left"/>
        <w:rPr>
          <w:rStyle w:val="7"/>
          <w:rFonts w:hint="default" w:ascii="Sitka Small Semibold" w:hAnsi="Sitka Small Semibold" w:eastAsia="sans-serif" w:cs="Sitka Small Semibold"/>
          <w:sz w:val="24"/>
          <w:szCs w:val="24"/>
          <w:lang w:val="en-US"/>
        </w:rPr>
      </w:pPr>
      <w:r>
        <w:rPr>
          <w:rStyle w:val="7"/>
          <w:rFonts w:hint="default" w:ascii="Sitka Small Semibold" w:hAnsi="Sitka Small Semibold" w:eastAsia="sans-serif" w:cs="Sitka Small Semibold"/>
          <w:color w:val="0070C0"/>
          <w:sz w:val="24"/>
          <w:szCs w:val="24"/>
        </w:rPr>
        <w:t>Phase 2:</w:t>
      </w:r>
      <w:r>
        <w:rPr>
          <w:rStyle w:val="7"/>
          <w:rFonts w:hint="default" w:ascii="Sitka Small Semibold" w:hAnsi="Sitka Small Semibold" w:eastAsia="sans-serif" w:cs="Sitka Small Semibold"/>
          <w:sz w:val="24"/>
          <w:szCs w:val="24"/>
        </w:rPr>
        <w:t xml:space="preserve"> Near-Term (30–60 Days) ──► Integrate SIEM real-time API anomaly alerting (DE.CM-01)</w:t>
      </w:r>
      <w:r>
        <w:rPr>
          <w:rStyle w:val="7"/>
          <w:rFonts w:hint="default" w:ascii="Sitka Small Semibold" w:hAnsi="Sitka Small Semibold" w:eastAsia="sans-serif" w:cs="Sitka Small Semibold"/>
          <w:sz w:val="24"/>
          <w:szCs w:val="24"/>
          <w:lang w:val="en-US"/>
        </w:rPr>
        <w:t>.</w:t>
      </w:r>
      <w:r>
        <w:rPr>
          <w:rStyle w:val="7"/>
          <w:rFonts w:hint="default" w:ascii="Sitka Small Semibold" w:hAnsi="Sitka Small Semibold" w:eastAsia="sans-serif" w:cs="Sitka Small Semibold"/>
          <w:sz w:val="24"/>
          <w:szCs w:val="24"/>
          <w:lang w:val="en-US"/>
        </w:rPr>
        <w:br w:type="textWrapping"/>
      </w:r>
    </w:p>
    <w:p w14:paraId="248CF494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 w:leftChars="0"/>
        <w:jc w:val="lef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Style w:val="7"/>
          <w:rFonts w:hint="default" w:ascii="Sitka Small Semibold" w:hAnsi="Sitka Small Semibold" w:eastAsia="sans-serif" w:cs="Sitka Small Semibold"/>
          <w:color w:val="0070C0"/>
          <w:sz w:val="24"/>
          <w:szCs w:val="24"/>
        </w:rPr>
        <w:t>Phase 3:</w:t>
      </w:r>
      <w:r>
        <w:rPr>
          <w:rStyle w:val="7"/>
          <w:rFonts w:hint="default" w:ascii="Sitka Small Semibold" w:hAnsi="Sitka Small Semibold" w:eastAsia="sans-serif" w:cs="Sitka Small Semibold"/>
          <w:sz w:val="24"/>
          <w:szCs w:val="24"/>
        </w:rPr>
        <w:t xml:space="preserve"> Long-Term (60–90 Days)  ──► Formalize Risk </w:t>
      </w:r>
      <w:r>
        <w:rPr>
          <w:rStyle w:val="7"/>
          <w:rFonts w:hint="default" w:ascii="Sitka Small Semibold" w:hAnsi="Sitka Small Semibold" w:eastAsia="sans-serif" w:cs="Sitka Small Semibold"/>
          <w:sz w:val="24"/>
          <w:szCs w:val="24"/>
        </w:rPr>
        <w:br w:type="textWrapping"/>
      </w:r>
      <w:r>
        <w:rPr>
          <w:rStyle w:val="7"/>
          <w:rFonts w:hint="default" w:ascii="Sitka Small Semibold" w:hAnsi="Sitka Small Semibold" w:eastAsia="sans-serif" w:cs="Sitka Small Semibold"/>
          <w:sz w:val="24"/>
          <w:szCs w:val="24"/>
        </w:rPr>
        <w:t>Appetite Statement &amp; TPRM Policy (GV.RM-01)</w:t>
      </w:r>
      <w:r>
        <w:rPr>
          <w:rStyle w:val="7"/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Style w:val="7"/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5B3BA0B6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  <w:lang w:val="en-US"/>
        </w:rPr>
        <w:t xml:space="preserve">1. </w:t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</w:rPr>
        <w:t>Remediation Action 1 (PR.AA-01 - Critical Risk):</w:t>
      </w:r>
    </w:p>
    <w:p w14:paraId="41C7EF9D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Enforce Hardware/App-based MFA for database consoles.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 xml:space="preserve">By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Implement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>ing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conditional access rules blocking any administrative database session without FIDO2/TOTP verification.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299D0545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  <w:lang w:val="en-US"/>
        </w:rPr>
        <w:t xml:space="preserve">2. </w:t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</w:rPr>
        <w:t>Remediation Action 2 (DE.CM-01 - High Risk):</w:t>
      </w:r>
    </w:p>
    <w:p w14:paraId="6D0C82D3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Deploy automated API threat monitoring.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 xml:space="preserve">By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Integrat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 xml:space="preserve">ing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automated rules into the SIEM to flag rate-limit violations, anomalous payload sizes, or multi-geography IP requests within 60 seconds.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7AC0D69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28"/>
          <w:szCs w:val="28"/>
        </w:rPr>
        <w:t>Remediation Action 3 (GV.RM-01 - High Risk):</w:t>
      </w:r>
    </w:p>
    <w:p w14:paraId="5DBC7257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Establish Risk Governance Framework.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 xml:space="preserve">By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Draft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>ing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an enterprise Risk Management Policy defining acceptable loss thresholds and requiring formal GRC sign-off prior to code deployments.</w:t>
      </w:r>
    </w:p>
    <w:p w14:paraId="49EEFF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9F4B8"/>
    <w:multiLevelType w:val="singleLevel"/>
    <w:tmpl w:val="BC79F4B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06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2026-08-03T15:29:38Z</dcterms:created>
  <dc:creator>User</dc:creator>
  <cp:lastModifiedBy>Divine E. SMART</cp:lastModifiedBy>
  <dcterms:modified xsi:type="dcterms:W3CDTF">2026-08-03T16:29:35Z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eyJoZGlkIjoiNjZhOTVlY2ZhZDVlZDE0YTBmOTJhYTIwNzAyZjc4Y2MiLCJ1c2VySWQiOiIxNjY3MDc4MDUzMTUwIn0=</vt:lpwstr>
  </property>
  <property fmtid="{D5CDD505-2E9C-101B-9397-08002B2CF9AE}" pid="4" name="ICV">
    <vt:lpwstr>24377A7B079A43479EA519B3F4296C02_12</vt:lpwstr>
  </property>
</Properties>
</file>