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4FB2F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imSun" w:cs="Sitka Small Semibold"/>
          <w:color w:val="2E54A1" w:themeColor="accent1" w:themeShade="BF"/>
          <w:sz w:val="52"/>
          <w:szCs w:val="52"/>
        </w:rPr>
        <w:t>NIST CSF 2.0 GAP ANALYSIS</w:t>
      </w:r>
      <w:r>
        <w:rPr>
          <w:rFonts w:hint="default" w:ascii="Sitka Small Semibold" w:hAnsi="Sitka Small Semibold" w:eastAsia="SimSun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36"/>
          <w:szCs w:val="36"/>
        </w:rPr>
        <w:t>(Mobihealth International)</w:t>
      </w:r>
    </w:p>
    <w:p w14:paraId="7D586DA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1. Scope &amp; Business Context</w:t>
      </w:r>
    </w:p>
    <w:p w14:paraId="641CA2B1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Mobihealth provides multi-jurisdictional telemedicine, global clinician consultations, and EMR services across Africa, the UK, and the US. The primary security objective is protecting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Protected Health Information (PHI)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and clinical availability under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HIPAA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,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NDPA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, and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GDPR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.</w:t>
      </w:r>
    </w:p>
    <w:p w14:paraId="29E5DF52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2. Mobihealth NIST CSF 2.0 Gap Analysis Matrix</w:t>
      </w:r>
    </w:p>
    <w:tbl>
      <w:tblPr>
        <w:tblW w:w="11654" w:type="dxa"/>
        <w:tblCellSpacing w:w="15" w:type="dxa"/>
        <w:tblInd w:w="-145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1704"/>
        <w:gridCol w:w="2174"/>
        <w:gridCol w:w="2214"/>
        <w:gridCol w:w="2388"/>
        <w:gridCol w:w="1735"/>
      </w:tblGrid>
      <w:tr w14:paraId="6BB76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4" w:hRule="atLeast"/>
          <w:tblHeader/>
          <w:tblCellSpacing w:w="15" w:type="dxa"/>
        </w:trPr>
        <w:tc>
          <w:tcPr>
            <w:tcW w:w="13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7AF0C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9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CSF 2.0 Category</w:t>
            </w:r>
          </w:p>
        </w:tc>
        <w:tc>
          <w:tcPr>
            <w:tcW w:w="1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E8F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9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Subcategory Control</w:t>
            </w:r>
          </w:p>
        </w:tc>
        <w:tc>
          <w:tcPr>
            <w:tcW w:w="214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100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9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Current State (Implementation)</w:t>
            </w:r>
          </w:p>
        </w:tc>
        <w:tc>
          <w:tcPr>
            <w:tcW w:w="218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E17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9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Target State (Maturity)</w:t>
            </w:r>
          </w:p>
        </w:tc>
        <w:tc>
          <w:tcPr>
            <w:tcW w:w="235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BE22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9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Gap Description</w:t>
            </w:r>
          </w:p>
        </w:tc>
        <w:tc>
          <w:tcPr>
            <w:tcW w:w="16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2F51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0070C0"/>
                <w:sz w:val="28"/>
                <w:szCs w:val="28"/>
              </w:rPr>
            </w:pPr>
            <w:r>
              <w:rPr>
                <w:rStyle w:val="9"/>
                <w:rFonts w:hint="default" w:ascii="Sitka Small Semibold" w:hAnsi="Sitka Small Semibold" w:eastAsia="sans-serif" w:cs="Sitka Small Semibold"/>
                <w:color w:val="0070C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Risk Level</w:t>
            </w:r>
          </w:p>
        </w:tc>
      </w:tr>
      <w:tr w14:paraId="10F41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883C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Govern (GV.SC-01)</w:t>
            </w:r>
          </w:p>
        </w:tc>
        <w:tc>
          <w:tcPr>
            <w:tcW w:w="1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0DE9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Cybersecurity Supply Chain</w:t>
            </w:r>
          </w:p>
        </w:tc>
        <w:tc>
          <w:tcPr>
            <w:tcW w:w="214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6674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SaaS vendors undergo basic procurement review.</w:t>
            </w:r>
          </w:p>
        </w:tc>
        <w:tc>
          <w:tcPr>
            <w:tcW w:w="218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AA51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Formal Third-Party Risk Management (TPRM) with mandatory HIPAA BAAs &amp; NDPA DPAs.</w:t>
            </w:r>
          </w:p>
        </w:tc>
        <w:tc>
          <w:tcPr>
            <w:tcW w:w="235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06D5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AI diagnostic SaaS plugins and cloud vendors have not signed formal Data Processing Agreements or BAAs.</w:t>
            </w:r>
          </w:p>
        </w:tc>
        <w:tc>
          <w:tcPr>
            <w:tcW w:w="16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C666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CRITICAL</w:t>
            </w:r>
          </w:p>
        </w:tc>
      </w:tr>
      <w:tr w14:paraId="036D1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2468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Identify (ID.RA-01)</w:t>
            </w:r>
          </w:p>
        </w:tc>
        <w:tc>
          <w:tcPr>
            <w:tcW w:w="1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667F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Risk Assessment</w:t>
            </w:r>
          </w:p>
        </w:tc>
        <w:tc>
          <w:tcPr>
            <w:tcW w:w="214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39B1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Annual vulnerability scanning on primary web endpoints.</w:t>
            </w:r>
          </w:p>
        </w:tc>
        <w:tc>
          <w:tcPr>
            <w:tcW w:w="218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5056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Continuous risk assessments and mandatory Data Protection Impact Assessments (DPIAs).</w:t>
            </w:r>
          </w:p>
        </w:tc>
        <w:tc>
          <w:tcPr>
            <w:tcW w:w="235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2859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New features (e.g., remote Hope Clinic telemetry streaming) are launched without formal DPIAs or privacy threat modeling.</w:t>
            </w:r>
          </w:p>
        </w:tc>
        <w:tc>
          <w:tcPr>
            <w:tcW w:w="16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822C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HIGH</w:t>
            </w:r>
          </w:p>
        </w:tc>
      </w:tr>
      <w:tr w14:paraId="58719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2AFC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Protect (PR.DS-01)</w:t>
            </w:r>
          </w:p>
        </w:tc>
        <w:tc>
          <w:tcPr>
            <w:tcW w:w="1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DE9D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Data Security &amp; Privacy</w:t>
            </w:r>
          </w:p>
        </w:tc>
        <w:tc>
          <w:tcPr>
            <w:tcW w:w="214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2396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Data at rest in AWS RDS is encrypted via AES-256.</w:t>
            </w:r>
          </w:p>
        </w:tc>
        <w:tc>
          <w:tcPr>
            <w:tcW w:w="218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CCC1C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Granular Role-Based Access Control (RBAC) enforcing "Minimum Necessary" PHI access.</w:t>
            </w:r>
          </w:p>
        </w:tc>
        <w:tc>
          <w:tcPr>
            <w:tcW w:w="235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7315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Clinicians can view full historical EMR records for any patient on the platform, rather than only assigned patients.</w:t>
            </w:r>
          </w:p>
        </w:tc>
        <w:tc>
          <w:tcPr>
            <w:tcW w:w="16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9EC2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HIGH</w:t>
            </w:r>
          </w:p>
        </w:tc>
      </w:tr>
      <w:tr w14:paraId="19F4A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2794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Detect (DE.AE-01)</w:t>
            </w:r>
          </w:p>
        </w:tc>
        <w:tc>
          <w:tcPr>
            <w:tcW w:w="1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7BF9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Adverse Event Analysis</w:t>
            </w:r>
          </w:p>
        </w:tc>
        <w:tc>
          <w:tcPr>
            <w:tcW w:w="214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F4C8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CloudWatch logs capture system access events.</w:t>
            </w:r>
          </w:p>
        </w:tc>
        <w:tc>
          <w:tcPr>
            <w:tcW w:w="218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6D78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Real-time monitoring of WebRTC video session integrity and bulk PHI export detection.</w:t>
            </w:r>
          </w:p>
        </w:tc>
        <w:tc>
          <w:tcPr>
            <w:tcW w:w="235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DFE3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No automated detection mechanisms to flag mass downloading of patient EMR records or unauthorized video session joins.</w:t>
            </w:r>
          </w:p>
        </w:tc>
        <w:tc>
          <w:tcPr>
            <w:tcW w:w="16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A634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CRITICAL</w:t>
            </w:r>
          </w:p>
        </w:tc>
      </w:tr>
      <w:tr w14:paraId="509D6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4C19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Respond (RS.CO-01)</w:t>
            </w:r>
          </w:p>
        </w:tc>
        <w:tc>
          <w:tcPr>
            <w:tcW w:w="1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C402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Incident Communication</w:t>
            </w:r>
          </w:p>
        </w:tc>
        <w:tc>
          <w:tcPr>
            <w:tcW w:w="214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2ACC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Incident escalation lists contain IT team contacts.</w:t>
            </w:r>
          </w:p>
        </w:tc>
        <w:tc>
          <w:tcPr>
            <w:tcW w:w="218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40F84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Automated breach notification playbooks aligned with 72-hour NDPC and HIPAA mandates.</w:t>
            </w:r>
          </w:p>
        </w:tc>
        <w:tc>
          <w:tcPr>
            <w:tcW w:w="235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FC29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Notification workflows do not account for statutory cross-border regulatory reporting timeframes (72h NDPC / 60d HHS).</w:t>
            </w:r>
          </w:p>
        </w:tc>
        <w:tc>
          <w:tcPr>
            <w:tcW w:w="16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00EA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851321" w:themeColor="accent6" w:themeShade="8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HIGH</w:t>
            </w:r>
          </w:p>
        </w:tc>
      </w:tr>
      <w:tr w14:paraId="40B16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6B4D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Recover (RC.CO-02)</w:t>
            </w:r>
          </w:p>
        </w:tc>
        <w:tc>
          <w:tcPr>
            <w:tcW w:w="167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9590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Recovery Communication</w:t>
            </w:r>
          </w:p>
        </w:tc>
        <w:tc>
          <w:tcPr>
            <w:tcW w:w="214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E0FD6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Basic DR plan outlines technical system restore.</w:t>
            </w:r>
          </w:p>
        </w:tc>
        <w:tc>
          <w:tcPr>
            <w:tcW w:w="2184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9B56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Integrated crisis communication plan covering patient safety advisories during outages.</w:t>
            </w:r>
          </w:p>
        </w:tc>
        <w:tc>
          <w:tcPr>
            <w:tcW w:w="235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01719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No protocol for notifying regional pharmacies or rural Hope Clinics when teleconsultation systems drop.</w:t>
            </w:r>
          </w:p>
        </w:tc>
        <w:tc>
          <w:tcPr>
            <w:tcW w:w="169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00FE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MEDIUM</w:t>
            </w:r>
          </w:p>
        </w:tc>
      </w:tr>
    </w:tbl>
    <w:p w14:paraId="048AE57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3. Mobihealth Prioritized Remediation Roadmap</w:t>
      </w:r>
    </w:p>
    <w:p w14:paraId="5BA89049">
      <w:pP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</w:p>
    <w:p w14:paraId="3C3B4D8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 w:leftChars="0"/>
        <w:jc w:val="left"/>
        <w:rPr>
          <w:rStyle w:val="6"/>
          <w:rFonts w:hint="default" w:ascii="Sitka Small Semibold" w:hAnsi="Sitka Small Semibold" w:eastAsia="sans-serif" w:cs="Sitka Small Semibold"/>
          <w:sz w:val="28"/>
          <w:szCs w:val="28"/>
          <w:lang w:val="en-US"/>
        </w:rPr>
      </w:pPr>
      <w:r>
        <w:rPr>
          <w:rStyle w:val="6"/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Phase 1: Immediate (0–30 Days) </w:t>
      </w:r>
      <w:r>
        <w:rPr>
          <w:rStyle w:val="6"/>
          <w:rFonts w:hint="default" w:ascii="Sitka Small Semibold" w:hAnsi="Sitka Small Semibold" w:eastAsia="sans-serif" w:cs="Sitka Small Semibold"/>
          <w:sz w:val="28"/>
          <w:szCs w:val="28"/>
        </w:rPr>
        <w:t xml:space="preserve"> ──► Restrict EMR PHI access via strict RBAC (PR.DS-01) &amp; Execute Vendor BAAs (GV.SC-01)</w:t>
      </w:r>
      <w:r>
        <w:rPr>
          <w:rStyle w:val="6"/>
          <w:rFonts w:hint="default" w:ascii="Sitka Small Semibold" w:hAnsi="Sitka Small Semibold" w:eastAsia="sans-serif" w:cs="Sitka Small Semibold"/>
          <w:sz w:val="28"/>
          <w:szCs w:val="28"/>
          <w:lang w:val="en-US"/>
        </w:rPr>
        <w:t>.</w:t>
      </w:r>
    </w:p>
    <w:p w14:paraId="0D33354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 w:leftChars="0"/>
        <w:jc w:val="left"/>
        <w:rPr>
          <w:rStyle w:val="6"/>
          <w:rFonts w:hint="default" w:ascii="Sitka Small Semibold" w:hAnsi="Sitka Small Semibold" w:eastAsia="sans-serif" w:cs="Sitka Small Semibold"/>
          <w:sz w:val="28"/>
          <w:szCs w:val="28"/>
        </w:rPr>
      </w:pPr>
    </w:p>
    <w:p w14:paraId="2D2FBD7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 w:leftChars="0"/>
        <w:jc w:val="left"/>
        <w:rPr>
          <w:rStyle w:val="6"/>
          <w:rFonts w:hint="default" w:ascii="Sitka Small Semibold" w:hAnsi="Sitka Small Semibold" w:eastAsia="sans-serif" w:cs="Sitka Small Semibold"/>
          <w:sz w:val="28"/>
          <w:szCs w:val="28"/>
          <w:lang w:val="en-US"/>
        </w:rPr>
      </w:pPr>
      <w:r>
        <w:rPr>
          <w:rStyle w:val="6"/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Phase 2: Near-Term (30–60 Days)</w:t>
      </w:r>
      <w:r>
        <w:rPr>
          <w:rStyle w:val="6"/>
          <w:rFonts w:hint="default" w:ascii="Sitka Small Semibold" w:hAnsi="Sitka Small Semibold" w:eastAsia="sans-serif" w:cs="Sitka Small Semibold"/>
          <w:sz w:val="28"/>
          <w:szCs w:val="28"/>
        </w:rPr>
        <w:t xml:space="preserve"> ──► Implement SIEM bulk PHI export alerting (DE.AE-01)</w:t>
      </w:r>
      <w:r>
        <w:rPr>
          <w:rStyle w:val="6"/>
          <w:rFonts w:hint="default" w:ascii="Sitka Small Semibold" w:hAnsi="Sitka Small Semibold" w:eastAsia="sans-serif" w:cs="Sitka Small Semibold"/>
          <w:sz w:val="28"/>
          <w:szCs w:val="28"/>
          <w:lang w:val="en-US"/>
        </w:rPr>
        <w:t>.</w:t>
      </w:r>
    </w:p>
    <w:p w14:paraId="7E50DF4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 w:leftChars="0"/>
        <w:jc w:val="left"/>
        <w:rPr>
          <w:rStyle w:val="6"/>
          <w:rFonts w:hint="default" w:ascii="Sitka Small Semibold" w:hAnsi="Sitka Small Semibold" w:eastAsia="sans-serif" w:cs="Sitka Small Semibold"/>
          <w:sz w:val="28"/>
          <w:szCs w:val="28"/>
        </w:rPr>
      </w:pPr>
    </w:p>
    <w:p w14:paraId="0A1F5DD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720" w:leftChars="0"/>
        <w:jc w:val="lef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Style w:val="6"/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>Phase 3: Long-Term (60–90 Days)</w:t>
      </w:r>
      <w:r>
        <w:rPr>
          <w:rStyle w:val="6"/>
          <w:rFonts w:hint="default" w:ascii="Sitka Small Semibold" w:hAnsi="Sitka Small Semibold" w:eastAsia="sans-serif" w:cs="Sitka Small Semibold"/>
          <w:sz w:val="28"/>
          <w:szCs w:val="28"/>
        </w:rPr>
        <w:t xml:space="preserve">  ──► Automate 72-hour NDPC/HIPAA Breach Notification Workflow (RS.CO-01)</w:t>
      </w:r>
      <w:r>
        <w:rPr>
          <w:rStyle w:val="6"/>
          <w:rFonts w:hint="default" w:ascii="Sitka Small Semibold" w:hAnsi="Sitka Small Semibold" w:eastAsia="sans-serif" w:cs="Sitka Small Semibold"/>
          <w:sz w:val="28"/>
          <w:szCs w:val="28"/>
          <w:lang w:val="en-US"/>
        </w:rPr>
        <w:t>.</w:t>
      </w:r>
      <w:r>
        <w:rPr>
          <w:rStyle w:val="6"/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Style w:val="6"/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0E9F31B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32"/>
          <w:szCs w:val="32"/>
        </w:rPr>
        <w:t>Remediation Action 1 (GV.SC-01 - Critical Risk):</w:t>
      </w:r>
    </w:p>
    <w:p w14:paraId="39372F34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Audit Supply Chain &amp; Require BAAs/DPAs.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 xml:space="preserve">By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Conduct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>ing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an immediate audit of all third-party vendors handling PHI/PII. Halt data transmission to any vendor lacking an executed Business Associate Agreement or Data Processing Agreement.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20324F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Sitka Small Semibold" w:hAnsi="Sitka Small Semibold" w:eastAsia="sans-serif" w:cs="Sitka Small Semibold"/>
          <w:color w:val="2E54A1" w:themeColor="accent1" w:themeShade="BF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32"/>
          <w:szCs w:val="32"/>
        </w:rPr>
        <w:t>Remediation Action 2 (PR.DS-01 - High Risk):</w:t>
      </w:r>
    </w:p>
    <w:p w14:paraId="5B96E8B3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Enforce HIPAA "Minimum Necessary" Rule in EMR.</w:t>
      </w:r>
      <w:r>
        <w:rPr>
          <w:rFonts w:hint="default" w:ascii="Sitka Small Semibold" w:hAnsi="Sitka Small Semibold" w:eastAsia="sans-serif" w:cs="Sitka Small Semibold"/>
          <w:color w:val="0070C0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>By Re-configuring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application RBAC so clinicians only gain access to patient records upon scheduled appointment confirmation or emergency room override.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14A4E8D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Sitka Small Semibold" w:hAnsi="Sitka Small Semibold" w:eastAsia="sans-serif" w:cs="Sitka Small Semibold"/>
          <w:color w:val="2E54A1" w:themeColor="accent1" w:themeShade="BF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b/>
          <w:bCs/>
          <w:color w:val="2E54A1" w:themeColor="accent1" w:themeShade="BF"/>
          <w:sz w:val="32"/>
          <w:szCs w:val="32"/>
        </w:rPr>
        <w:t>Remediation Action 3 (DE.AE-01 - Critical Risk):</w:t>
      </w:r>
    </w:p>
    <w:p w14:paraId="732EE34F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</w:rPr>
      </w:pPr>
      <w:r>
        <w:rPr>
          <w:rFonts w:hint="default" w:ascii="Sitka Small Semibold" w:hAnsi="Sitka Small Semibold" w:eastAsia="sans-serif" w:cs="Sitka Small Semibold"/>
          <w:i/>
          <w:iCs/>
          <w:color w:val="0070C0"/>
          <w:sz w:val="28"/>
          <w:szCs w:val="28"/>
        </w:rPr>
        <w:t>Deploy DLP &amp; Mass-Export Monitoring.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 xml:space="preserve">By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Configur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>ing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Data Loss Prevention (DLP) controls in cloud databases to immediately block and alert security ops if an account attempts to export &gt;5</w:t>
      </w:r>
      <w:bookmarkStart w:id="0" w:name="_GoBack"/>
      <w:bookmarkEnd w:id="0"/>
      <w:r>
        <w:rPr>
          <w:rFonts w:hint="default" w:ascii="Sitka Small Semibold" w:hAnsi="Sitka Small Semibold" w:eastAsia="sans-serif" w:cs="Sitka Small Semibold"/>
          <w:sz w:val="28"/>
          <w:szCs w:val="28"/>
        </w:rPr>
        <w:t>0 patient records within an hour.</w:t>
      </w:r>
    </w:p>
    <w:p w14:paraId="4A0176C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824C5C"/>
    <w:multiLevelType w:val="singleLevel"/>
    <w:tmpl w:val="F0824C5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7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2026-08-03T16:36:34Z</dcterms:created>
  <dc:creator>User</dc:creator>
  <cp:lastModifiedBy>Divine E. SMART</cp:lastModifiedBy>
  <dcterms:modified xsi:type="dcterms:W3CDTF">2026-08-03T17:07:56Z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eyJoZGlkIjoiNjZhOTVlY2ZhZDVlZDE0YTBmOTJhYTIwNzAyZjc4Y2MiLCJ1c2VySWQiOiIxNjY3MDc4MDUzMTUwIn0=</vt:lpwstr>
  </property>
  <property fmtid="{D5CDD505-2E9C-101B-9397-08002B2CF9AE}" pid="4" name="ICV">
    <vt:lpwstr>4B8F00A6480D48B687B0ED076E432FCA_12</vt:lpwstr>
  </property>
</Properties>
</file>