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Open Sans" w:cs="Open Sans" w:eastAsia="Open Sans" w:hAnsi="Open Sans"/>
          <w:color w:val="009CA6"/>
          <w:sz w:val="18"/>
          <w:szCs w:val="18"/>
        </w:rPr>
        <w:t xml:space="preserve">Aetas in the Workplace</w:t>
      </w:r>
    </w:p>
    <w:p>
      <w:pPr>
        <w:spacing w:after="200" w:before="0"/>
      </w:pPr>
      <w:r>
        <w:rPr>
          <w:rFonts w:ascii="Open Sans" w:cs="Open Sans" w:eastAsia="Open Sans" w:hAnsi="Open Sans"/>
          <w:b/>
          <w:bCs/>
          <w:color w:val="00205B"/>
          <w:sz w:val="32"/>
          <w:szCs w:val="32"/>
        </w:rPr>
        <w:t xml:space="preserve">Agentic Search Optimisation — Implementation Guide</w:t>
      </w:r>
    </w:p>
    <w:p>
      <w:pPr>
        <w:spacing w:after="400" w:before="0"/>
      </w:pPr>
      <w:r>
        <w:rPr>
          <w:rFonts w:ascii="Open Sans" w:cs="Open Sans" w:eastAsia="Open Sans" w:hAnsi="Open Sans"/>
          <w:color w:val="666666"/>
          <w:sz w:val="18"/>
          <w:szCs w:val="18"/>
        </w:rPr>
        <w:t xml:space="preserve">itw.aetaspartners.com  ·  April 2026  ·  Prepared for Matthew Steiner</w:t>
      </w:r>
    </w:p>
    <w:p>
      <w:pPr>
        <w:pBdr>
          <w:bottom w:val="single" w:color="009CA6" w:sz="4" w:space="1"/>
        </w:pBdr>
        <w:spacing w:after="160" w:before="160"/>
      </w:pPr>
    </w:p>
    <w:p>
      <w:pPr>
        <w:pStyle w:val="Heading1"/>
        <w:spacing w:after="120" w:before="360"/>
      </w:pPr>
      <w:r>
        <w:rPr>
          <w:rFonts w:ascii="Open Sans" w:cs="Open Sans" w:eastAsia="Open Sans" w:hAnsi="Open Sans"/>
          <w:b/>
          <w:bCs/>
          <w:color w:val="00205B"/>
          <w:sz w:val="26"/>
          <w:szCs w:val="26"/>
        </w:rPr>
        <w:t xml:space="preserve">What this is — and why it matters now</w:t>
      </w:r>
    </w:p>
    <w:p>
      <w:pPr>
        <w:spacing w:after="80" w:before="80"/>
      </w:pPr>
      <w:r>
        <w:rPr>
          <w:rFonts w:ascii="Open Sans" w:cs="Open Sans" w:eastAsia="Open Sans" w:hAnsi="Open Sans"/>
          <w:color w:val="1A1A2E"/>
          <w:sz w:val="20"/>
          <w:szCs w:val="20"/>
        </w:rPr>
        <w:t xml:space="preserve">Agentic Search Optimisation (ASO) is the practice of making a website understandable to AI agents, not just to traditional search engine crawlers. Whereas conventional SEO targets Google's ranking algorithm, ASO targets the language models and AI tools that are increasingly the first point of contact for professional research: Perplexity, ChatGPT with browsing, Claude, Google's AI Overviews, and a growing range of agentic tools that browse, summarise, and cite on behalf of users.</w:t>
      </w:r>
    </w:p>
    <w:p>
      <w:pPr>
        <w:spacing w:after="80" w:before="80"/>
      </w:pPr>
      <w:r>
        <w:rPr>
          <w:rFonts w:ascii="Open Sans" w:cs="Open Sans" w:eastAsia="Open Sans" w:hAnsi="Open Sans"/>
          <w:color w:val="1A1A2E"/>
          <w:sz w:val="20"/>
          <w:szCs w:val="20"/>
        </w:rPr>
        <w:t xml:space="preserve">The distinction matters because AI agents do not rank — they retrieve and synthesise. If your site lacks the structured signals these agents look for, it will either be misrepresented, overlooked, or simply not cited when a potential client asks an AI tool: 'What is the best approach to employee financial wellbeing for an SME?' or 'Who provides financial wellbeing consultancy for UK charities?'</w:t>
      </w:r>
    </w:p>
    <w:p>
      <w:pPr>
        <w:spacing w:after="80" w:before="80"/>
      </w:pPr>
      <w:r>
        <w:rPr>
          <w:rFonts w:ascii="Open Sans" w:cs="Open Sans" w:eastAsia="Open Sans" w:hAnsi="Open Sans"/>
          <w:color w:val="1A1A2E"/>
          <w:sz w:val="20"/>
          <w:szCs w:val="20"/>
        </w:rPr>
        <w:t xml:space="preserve">This package gives itw.aetaspartners.com the full set of ASO foundations: a discovery file for AI agents, structured data that allows language models to understand what Aetas ITW is and who it is for, optimised meta descriptions that are read by crawlers, an AI-friendly robots.txt, and a sitemap.</w:t>
      </w:r>
    </w:p>
    <w:p>
      <w:pPr>
        <w:pBdr>
          <w:bottom w:val="single" w:color="009CA6" w:sz="4" w:space="1"/>
        </w:pBdr>
        <w:spacing w:after="160" w:before="160"/>
      </w:pPr>
    </w:p>
    <w:p>
      <w:pPr>
        <w:pStyle w:val="Heading1"/>
        <w:spacing w:after="120" w:before="360"/>
      </w:pPr>
      <w:r>
        <w:rPr>
          <w:rFonts w:ascii="Open Sans" w:cs="Open Sans" w:eastAsia="Open Sans" w:hAnsi="Open Sans"/>
          <w:b/>
          <w:bCs/>
          <w:color w:val="00205B"/>
          <w:sz w:val="26"/>
          <w:szCs w:val="26"/>
        </w:rPr>
        <w:t xml:space="preserve">What is included in this package</w:t>
      </w:r>
    </w:p>
    <w:p>
      <w:pPr>
        <w:spacing w:after="80" w:before="80"/>
      </w:pPr>
      <w:r>
        <w:rPr>
          <w:rFonts w:ascii="Open Sans" w:cs="Open Sans" w:eastAsia="Open Sans" w:hAnsi="Open Sans"/>
          <w:color w:val="1A1A2E"/>
          <w:sz w:val="20"/>
          <w:szCs w:val="20"/>
        </w:rPr>
        <w:t xml:space="preserve">Seven files have been prepared and are ready to deploy. The table below summarises each one, where it goes, and how to prioritise implementation.</w:t>
      </w:r>
    </w:p>
    <w:p>
      <w:pPr>
        <w:spacing w:after="120"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1760"/>
      </w:tblGrid>
      <w:tr>
        <w:trPr>
          <w:tblHeader/>
        </w:trPr>
        <w:tc>
          <w:tcPr>
            <w:tcW w:type="dxa" w:w="800"/>
            <w:tcBorders>
              <w:top w:val="single" w:color="00205B" w:sz="1"/>
              <w:left w:val="single" w:color="00205B" w:sz="1"/>
              <w:bottom w:val="single" w:color="00205B" w:sz="1"/>
              <w:right w:val="single" w:color="00205B" w:sz="1"/>
            </w:tcBorders>
            <w:shd w:fill="00205B" w:val="clear"/>
            <w:tcMar>
              <w:top w:type="dxa" w:w="80"/>
              <w:left w:type="dxa" w:w="120"/>
              <w:bottom w:type="dxa" w:w="80"/>
              <w:right w:type="dxa" w:w="120"/>
            </w:tcMar>
          </w:tcPr>
          <w:p>
            <w:r>
              <w:rPr>
                <w:rFonts w:ascii="Open Sans" w:cs="Open Sans" w:eastAsia="Open Sans" w:hAnsi="Open Sans"/>
                <w:b/>
                <w:bCs/>
                <w:color w:val="FFFFFF"/>
                <w:sz w:val="20"/>
                <w:szCs w:val="20"/>
              </w:rPr>
              <w:t xml:space="preserve">#</w:t>
            </w:r>
          </w:p>
        </w:tc>
        <w:tc>
          <w:tcPr>
            <w:tcW w:type="dxa" w:w="2600"/>
            <w:tcBorders>
              <w:top w:val="single" w:color="00205B" w:sz="1"/>
              <w:left w:val="single" w:color="00205B" w:sz="1"/>
              <w:bottom w:val="single" w:color="00205B" w:sz="1"/>
              <w:right w:val="single" w:color="00205B" w:sz="1"/>
            </w:tcBorders>
            <w:shd w:fill="00205B" w:val="clear"/>
            <w:tcMar>
              <w:top w:type="dxa" w:w="80"/>
              <w:left w:type="dxa" w:w="120"/>
              <w:bottom w:type="dxa" w:w="80"/>
              <w:right w:type="dxa" w:w="120"/>
            </w:tcMar>
          </w:tcPr>
          <w:p>
            <w:r>
              <w:rPr>
                <w:rFonts w:ascii="Open Sans" w:cs="Open Sans" w:eastAsia="Open Sans" w:hAnsi="Open Sans"/>
                <w:b/>
                <w:bCs/>
                <w:color w:val="FFFFFF"/>
                <w:sz w:val="20"/>
                <w:szCs w:val="20"/>
              </w:rPr>
              <w:t xml:space="preserve">File</w:t>
            </w:r>
          </w:p>
        </w:tc>
        <w:tc>
          <w:tcPr>
            <w:tcW w:type="dxa" w:w="3200"/>
            <w:tcBorders>
              <w:top w:val="single" w:color="00205B" w:sz="1"/>
              <w:left w:val="single" w:color="00205B" w:sz="1"/>
              <w:bottom w:val="single" w:color="00205B" w:sz="1"/>
              <w:right w:val="single" w:color="00205B" w:sz="1"/>
            </w:tcBorders>
            <w:shd w:fill="00205B" w:val="clear"/>
            <w:tcMar>
              <w:top w:type="dxa" w:w="80"/>
              <w:left w:type="dxa" w:w="120"/>
              <w:bottom w:type="dxa" w:w="80"/>
              <w:right w:type="dxa" w:w="120"/>
            </w:tcMar>
          </w:tcPr>
          <w:p>
            <w:r>
              <w:rPr>
                <w:rFonts w:ascii="Open Sans" w:cs="Open Sans" w:eastAsia="Open Sans" w:hAnsi="Open Sans"/>
                <w:b/>
                <w:bCs/>
                <w:color w:val="FFFFFF"/>
                <w:sz w:val="20"/>
                <w:szCs w:val="20"/>
              </w:rPr>
              <w:t xml:space="preserve">Deploy to site root / head</w:t>
            </w:r>
          </w:p>
        </w:tc>
        <w:tc>
          <w:tcPr>
            <w:tcW w:type="dxa" w:w="1760"/>
            <w:tcBorders>
              <w:top w:val="single" w:color="00205B" w:sz="1"/>
              <w:left w:val="single" w:color="00205B" w:sz="1"/>
              <w:bottom w:val="single" w:color="00205B" w:sz="1"/>
              <w:right w:val="single" w:color="00205B" w:sz="1"/>
            </w:tcBorders>
            <w:shd w:fill="00205B" w:val="clear"/>
            <w:tcMar>
              <w:top w:type="dxa" w:w="80"/>
              <w:left w:type="dxa" w:w="120"/>
              <w:bottom w:type="dxa" w:w="80"/>
              <w:right w:type="dxa" w:w="120"/>
            </w:tcMar>
          </w:tcPr>
          <w:p>
            <w:r>
              <w:rPr>
                <w:rFonts w:ascii="Open Sans" w:cs="Open Sans" w:eastAsia="Open Sans" w:hAnsi="Open Sans"/>
                <w:b/>
                <w:bCs/>
                <w:color w:val="FFFFFF"/>
                <w:sz w:val="20"/>
                <w:szCs w:val="20"/>
              </w:rPr>
              <w:t xml:space="preserve">Priority</w:t>
            </w:r>
          </w:p>
        </w:tc>
      </w:tr>
      <w:tr>
        <w:tc>
          <w:tcPr>
            <w:tcW w:type="dxa" w:w="8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Open Sans" w:cs="Open Sans" w:eastAsia="Open Sans" w:hAnsi="Open Sans"/>
                <w:b/>
                <w:bCs/>
                <w:color w:val="00205B"/>
                <w:sz w:val="20"/>
                <w:szCs w:val="20"/>
              </w:rPr>
              <w:t xml:space="preserve">1</w:t>
            </w:r>
          </w:p>
        </w:tc>
        <w:tc>
          <w:tcPr>
            <w:tcW w:type="dxa" w:w="2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Open Sans" w:cs="Open Sans" w:eastAsia="Open Sans" w:hAnsi="Open Sans"/>
                <w:b/>
                <w:bCs/>
                <w:color w:val="009CA6"/>
                <w:sz w:val="20"/>
                <w:szCs w:val="20"/>
              </w:rPr>
              <w:t xml:space="preserve">llms.txt</w:t>
            </w:r>
          </w:p>
        </w:tc>
        <w:tc>
          <w:tcPr>
            <w:tcW w:type="dxa" w:w="3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Open Sans" w:cs="Open Sans" w:eastAsia="Open Sans" w:hAnsi="Open Sans"/>
                <w:sz w:val="20"/>
                <w:szCs w:val="20"/>
              </w:rPr>
              <w:t xml:space="preserve">Upload to site root: itw.aetaspartners.com/llms.txt</w:t>
            </w:r>
          </w:p>
        </w:tc>
        <w:tc>
          <w:tcPr>
            <w:tcW w:type="dxa" w:w="1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Open Sans" w:cs="Open Sans" w:eastAsia="Open Sans" w:hAnsi="Open Sans"/>
                <w:b/>
                <w:bCs/>
                <w:sz w:val="20"/>
                <w:szCs w:val="20"/>
              </w:rPr>
              <w:t xml:space="preserve">Critical</w:t>
            </w:r>
          </w:p>
        </w:tc>
      </w:tr>
      <w:tr>
        <w:tc>
          <w:tcPr>
            <w:tcW w:type="dxa" w:w="800"/>
            <w:tcBorders>
              <w:top w:val="single" w:color="D0D8E4" w:sz="1"/>
              <w:left w:val="single" w:color="D0D8E4" w:sz="1"/>
              <w:bottom w:val="single" w:color="D0D8E4" w:sz="1"/>
              <w:right w:val="single" w:color="D0D8E4" w:sz="1"/>
            </w:tcBorders>
            <w:shd w:fill="E6F5F6" w:val="clear"/>
            <w:tcMar>
              <w:top w:type="dxa" w:w="80"/>
              <w:left w:type="dxa" w:w="120"/>
              <w:bottom w:type="dxa" w:w="80"/>
              <w:right w:type="dxa" w:w="120"/>
            </w:tcMar>
          </w:tcPr>
          <w:p>
            <w:r>
              <w:rPr>
                <w:rFonts w:ascii="Open Sans" w:cs="Open Sans" w:eastAsia="Open Sans" w:hAnsi="Open Sans"/>
                <w:b/>
                <w:bCs/>
                <w:color w:val="00205B"/>
                <w:sz w:val="20"/>
                <w:szCs w:val="20"/>
              </w:rPr>
              <w:t xml:space="preserve">2</w:t>
            </w:r>
          </w:p>
        </w:tc>
        <w:tc>
          <w:tcPr>
            <w:tcW w:type="dxa" w:w="2600"/>
            <w:tcBorders>
              <w:top w:val="single" w:color="D0D8E4" w:sz="1"/>
              <w:left w:val="single" w:color="D0D8E4" w:sz="1"/>
              <w:bottom w:val="single" w:color="D0D8E4" w:sz="1"/>
              <w:right w:val="single" w:color="D0D8E4" w:sz="1"/>
            </w:tcBorders>
            <w:shd w:fill="E6F5F6" w:val="clear"/>
            <w:tcMar>
              <w:top w:type="dxa" w:w="80"/>
              <w:left w:type="dxa" w:w="120"/>
              <w:bottom w:type="dxa" w:w="80"/>
              <w:right w:type="dxa" w:w="120"/>
            </w:tcMar>
          </w:tcPr>
          <w:p>
            <w:r>
              <w:rPr>
                <w:rFonts w:ascii="Open Sans" w:cs="Open Sans" w:eastAsia="Open Sans" w:hAnsi="Open Sans"/>
                <w:b/>
                <w:bCs/>
                <w:color w:val="009CA6"/>
                <w:sz w:val="20"/>
                <w:szCs w:val="20"/>
              </w:rPr>
              <w:t xml:space="preserve">robots.txt</w:t>
            </w:r>
          </w:p>
        </w:tc>
        <w:tc>
          <w:tcPr>
            <w:tcW w:type="dxa" w:w="3200"/>
            <w:tcBorders>
              <w:top w:val="single" w:color="D0D8E4" w:sz="1"/>
              <w:left w:val="single" w:color="D0D8E4" w:sz="1"/>
              <w:bottom w:val="single" w:color="D0D8E4" w:sz="1"/>
              <w:right w:val="single" w:color="D0D8E4" w:sz="1"/>
            </w:tcBorders>
            <w:shd w:fill="E6F5F6" w:val="clear"/>
            <w:tcMar>
              <w:top w:type="dxa" w:w="80"/>
              <w:left w:type="dxa" w:w="120"/>
              <w:bottom w:type="dxa" w:w="80"/>
              <w:right w:type="dxa" w:w="120"/>
            </w:tcMar>
          </w:tcPr>
          <w:p>
            <w:r>
              <w:rPr>
                <w:rFonts w:ascii="Open Sans" w:cs="Open Sans" w:eastAsia="Open Sans" w:hAnsi="Open Sans"/>
                <w:sz w:val="20"/>
                <w:szCs w:val="20"/>
              </w:rPr>
              <w:t xml:space="preserve">Upload to site root (replace existing if present): itw.aetaspartners.com/robots.txt</w:t>
            </w:r>
          </w:p>
        </w:tc>
        <w:tc>
          <w:tcPr>
            <w:tcW w:type="dxa" w:w="1760"/>
            <w:tcBorders>
              <w:top w:val="single" w:color="D0D8E4" w:sz="1"/>
              <w:left w:val="single" w:color="D0D8E4" w:sz="1"/>
              <w:bottom w:val="single" w:color="D0D8E4" w:sz="1"/>
              <w:right w:val="single" w:color="D0D8E4" w:sz="1"/>
            </w:tcBorders>
            <w:shd w:fill="E6F5F6" w:val="clear"/>
            <w:tcMar>
              <w:top w:type="dxa" w:w="80"/>
              <w:left w:type="dxa" w:w="120"/>
              <w:bottom w:type="dxa" w:w="80"/>
              <w:right w:type="dxa" w:w="120"/>
            </w:tcMar>
          </w:tcPr>
          <w:p>
            <w:r>
              <w:rPr>
                <w:rFonts w:ascii="Open Sans" w:cs="Open Sans" w:eastAsia="Open Sans" w:hAnsi="Open Sans"/>
                <w:b/>
                <w:bCs/>
                <w:sz w:val="20"/>
                <w:szCs w:val="20"/>
              </w:rPr>
              <w:t xml:space="preserve">Critical</w:t>
            </w:r>
          </w:p>
        </w:tc>
      </w:tr>
      <w:tr>
        <w:tc>
          <w:tcPr>
            <w:tcW w:type="dxa" w:w="8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Open Sans" w:cs="Open Sans" w:eastAsia="Open Sans" w:hAnsi="Open Sans"/>
                <w:b/>
                <w:bCs/>
                <w:color w:val="00205B"/>
                <w:sz w:val="20"/>
                <w:szCs w:val="20"/>
              </w:rPr>
              <w:t xml:space="preserve">3</w:t>
            </w:r>
          </w:p>
        </w:tc>
        <w:tc>
          <w:tcPr>
            <w:tcW w:type="dxa" w:w="2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Open Sans" w:cs="Open Sans" w:eastAsia="Open Sans" w:hAnsi="Open Sans"/>
                <w:b/>
                <w:bCs/>
                <w:color w:val="009CA6"/>
                <w:sz w:val="20"/>
                <w:szCs w:val="20"/>
              </w:rPr>
              <w:t xml:space="preserve">sitemap.xml</w:t>
            </w:r>
          </w:p>
        </w:tc>
        <w:tc>
          <w:tcPr>
            <w:tcW w:type="dxa" w:w="3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Open Sans" w:cs="Open Sans" w:eastAsia="Open Sans" w:hAnsi="Open Sans"/>
                <w:sz w:val="20"/>
                <w:szCs w:val="20"/>
              </w:rPr>
              <w:t xml:space="preserve">Upload to site root: itw.aetaspartners.com/sitemap.xml</w:t>
            </w:r>
          </w:p>
        </w:tc>
        <w:tc>
          <w:tcPr>
            <w:tcW w:type="dxa" w:w="1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Open Sans" w:cs="Open Sans" w:eastAsia="Open Sans" w:hAnsi="Open Sans"/>
                <w:b/>
                <w:bCs/>
                <w:sz w:val="20"/>
                <w:szCs w:val="20"/>
              </w:rPr>
              <w:t xml:space="preserve">Critical</w:t>
            </w:r>
          </w:p>
        </w:tc>
      </w:tr>
      <w:tr>
        <w:tc>
          <w:tcPr>
            <w:tcW w:type="dxa" w:w="800"/>
            <w:tcBorders>
              <w:top w:val="single" w:color="D0D8E4" w:sz="1"/>
              <w:left w:val="single" w:color="D0D8E4" w:sz="1"/>
              <w:bottom w:val="single" w:color="D0D8E4" w:sz="1"/>
              <w:right w:val="single" w:color="D0D8E4" w:sz="1"/>
            </w:tcBorders>
            <w:shd w:fill="E6F5F6" w:val="clear"/>
            <w:tcMar>
              <w:top w:type="dxa" w:w="80"/>
              <w:left w:type="dxa" w:w="120"/>
              <w:bottom w:type="dxa" w:w="80"/>
              <w:right w:type="dxa" w:w="120"/>
            </w:tcMar>
          </w:tcPr>
          <w:p>
            <w:r>
              <w:rPr>
                <w:rFonts w:ascii="Open Sans" w:cs="Open Sans" w:eastAsia="Open Sans" w:hAnsi="Open Sans"/>
                <w:b/>
                <w:bCs/>
                <w:color w:val="00205B"/>
                <w:sz w:val="20"/>
                <w:szCs w:val="20"/>
              </w:rPr>
              <w:t xml:space="preserve">4</w:t>
            </w:r>
          </w:p>
        </w:tc>
        <w:tc>
          <w:tcPr>
            <w:tcW w:type="dxa" w:w="2600"/>
            <w:tcBorders>
              <w:top w:val="single" w:color="D0D8E4" w:sz="1"/>
              <w:left w:val="single" w:color="D0D8E4" w:sz="1"/>
              <w:bottom w:val="single" w:color="D0D8E4" w:sz="1"/>
              <w:right w:val="single" w:color="D0D8E4" w:sz="1"/>
            </w:tcBorders>
            <w:shd w:fill="E6F5F6" w:val="clear"/>
            <w:tcMar>
              <w:top w:type="dxa" w:w="80"/>
              <w:left w:type="dxa" w:w="120"/>
              <w:bottom w:type="dxa" w:w="80"/>
              <w:right w:type="dxa" w:w="120"/>
            </w:tcMar>
          </w:tcPr>
          <w:p>
            <w:r>
              <w:rPr>
                <w:rFonts w:ascii="Open Sans" w:cs="Open Sans" w:eastAsia="Open Sans" w:hAnsi="Open Sans"/>
                <w:b/>
                <w:bCs/>
                <w:color w:val="009CA6"/>
                <w:sz w:val="20"/>
                <w:szCs w:val="20"/>
              </w:rPr>
              <w:t xml:space="preserve">structured-data-homepage.html</w:t>
            </w:r>
          </w:p>
        </w:tc>
        <w:tc>
          <w:tcPr>
            <w:tcW w:type="dxa" w:w="3200"/>
            <w:tcBorders>
              <w:top w:val="single" w:color="D0D8E4" w:sz="1"/>
              <w:left w:val="single" w:color="D0D8E4" w:sz="1"/>
              <w:bottom w:val="single" w:color="D0D8E4" w:sz="1"/>
              <w:right w:val="single" w:color="D0D8E4" w:sz="1"/>
            </w:tcBorders>
            <w:shd w:fill="E6F5F6" w:val="clear"/>
            <w:tcMar>
              <w:top w:type="dxa" w:w="80"/>
              <w:left w:type="dxa" w:w="120"/>
              <w:bottom w:type="dxa" w:w="80"/>
              <w:right w:type="dxa" w:w="120"/>
            </w:tcMar>
          </w:tcPr>
          <w:p>
            <w:r>
              <w:rPr>
                <w:rFonts w:ascii="Open Sans" w:cs="Open Sans" w:eastAsia="Open Sans" w:hAnsi="Open Sans"/>
                <w:sz w:val="20"/>
                <w:szCs w:val="20"/>
              </w:rPr>
              <w:t xml:space="preserve">Paste &lt;script&gt; block into &lt;head&gt; of index.html</w:t>
            </w:r>
          </w:p>
        </w:tc>
        <w:tc>
          <w:tcPr>
            <w:tcW w:type="dxa" w:w="1760"/>
            <w:tcBorders>
              <w:top w:val="single" w:color="D0D8E4" w:sz="1"/>
              <w:left w:val="single" w:color="D0D8E4" w:sz="1"/>
              <w:bottom w:val="single" w:color="D0D8E4" w:sz="1"/>
              <w:right w:val="single" w:color="D0D8E4" w:sz="1"/>
            </w:tcBorders>
            <w:shd w:fill="E6F5F6" w:val="clear"/>
            <w:tcMar>
              <w:top w:type="dxa" w:w="80"/>
              <w:left w:type="dxa" w:w="120"/>
              <w:bottom w:type="dxa" w:w="80"/>
              <w:right w:type="dxa" w:w="120"/>
            </w:tcMar>
          </w:tcPr>
          <w:p>
            <w:r>
              <w:rPr>
                <w:rFonts w:ascii="Open Sans" w:cs="Open Sans" w:eastAsia="Open Sans" w:hAnsi="Open Sans"/>
                <w:b/>
                <w:bCs/>
                <w:sz w:val="20"/>
                <w:szCs w:val="20"/>
              </w:rPr>
              <w:t xml:space="preserve">Critical</w:t>
            </w:r>
          </w:p>
        </w:tc>
      </w:tr>
      <w:tr>
        <w:tc>
          <w:tcPr>
            <w:tcW w:type="dxa" w:w="8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Open Sans" w:cs="Open Sans" w:eastAsia="Open Sans" w:hAnsi="Open Sans"/>
                <w:b/>
                <w:bCs/>
                <w:color w:val="00205B"/>
                <w:sz w:val="20"/>
                <w:szCs w:val="20"/>
              </w:rPr>
              <w:t xml:space="preserve">5</w:t>
            </w:r>
          </w:p>
        </w:tc>
        <w:tc>
          <w:tcPr>
            <w:tcW w:type="dxa" w:w="2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Open Sans" w:cs="Open Sans" w:eastAsia="Open Sans" w:hAnsi="Open Sans"/>
                <w:b/>
                <w:bCs/>
                <w:color w:val="009CA6"/>
                <w:sz w:val="20"/>
                <w:szCs w:val="20"/>
              </w:rPr>
              <w:t xml:space="preserve">structured-data-faqs.html</w:t>
            </w:r>
          </w:p>
        </w:tc>
        <w:tc>
          <w:tcPr>
            <w:tcW w:type="dxa" w:w="3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Open Sans" w:cs="Open Sans" w:eastAsia="Open Sans" w:hAnsi="Open Sans"/>
                <w:sz w:val="20"/>
                <w:szCs w:val="20"/>
              </w:rPr>
              <w:t xml:space="preserve">Paste &lt;script&gt; block into &lt;head&gt; of faqs.html</w:t>
            </w:r>
          </w:p>
        </w:tc>
        <w:tc>
          <w:tcPr>
            <w:tcW w:type="dxa" w:w="1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Open Sans" w:cs="Open Sans" w:eastAsia="Open Sans" w:hAnsi="Open Sans"/>
                <w:b w:val="false"/>
                <w:bCs w:val="false"/>
                <w:sz w:val="20"/>
                <w:szCs w:val="20"/>
              </w:rPr>
              <w:t xml:space="preserve">High</w:t>
            </w:r>
          </w:p>
        </w:tc>
      </w:tr>
      <w:tr>
        <w:tc>
          <w:tcPr>
            <w:tcW w:type="dxa" w:w="800"/>
            <w:tcBorders>
              <w:top w:val="single" w:color="D0D8E4" w:sz="1"/>
              <w:left w:val="single" w:color="D0D8E4" w:sz="1"/>
              <w:bottom w:val="single" w:color="D0D8E4" w:sz="1"/>
              <w:right w:val="single" w:color="D0D8E4" w:sz="1"/>
            </w:tcBorders>
            <w:shd w:fill="E6F5F6" w:val="clear"/>
            <w:tcMar>
              <w:top w:type="dxa" w:w="80"/>
              <w:left w:type="dxa" w:w="120"/>
              <w:bottom w:type="dxa" w:w="80"/>
              <w:right w:type="dxa" w:w="120"/>
            </w:tcMar>
          </w:tcPr>
          <w:p>
            <w:r>
              <w:rPr>
                <w:rFonts w:ascii="Open Sans" w:cs="Open Sans" w:eastAsia="Open Sans" w:hAnsi="Open Sans"/>
                <w:b/>
                <w:bCs/>
                <w:color w:val="00205B"/>
                <w:sz w:val="20"/>
                <w:szCs w:val="20"/>
              </w:rPr>
              <w:t xml:space="preserve">6</w:t>
            </w:r>
          </w:p>
        </w:tc>
        <w:tc>
          <w:tcPr>
            <w:tcW w:type="dxa" w:w="2600"/>
            <w:tcBorders>
              <w:top w:val="single" w:color="D0D8E4" w:sz="1"/>
              <w:left w:val="single" w:color="D0D8E4" w:sz="1"/>
              <w:bottom w:val="single" w:color="D0D8E4" w:sz="1"/>
              <w:right w:val="single" w:color="D0D8E4" w:sz="1"/>
            </w:tcBorders>
            <w:shd w:fill="E6F5F6" w:val="clear"/>
            <w:tcMar>
              <w:top w:type="dxa" w:w="80"/>
              <w:left w:type="dxa" w:w="120"/>
              <w:bottom w:type="dxa" w:w="80"/>
              <w:right w:type="dxa" w:w="120"/>
            </w:tcMar>
          </w:tcPr>
          <w:p>
            <w:r>
              <w:rPr>
                <w:rFonts w:ascii="Open Sans" w:cs="Open Sans" w:eastAsia="Open Sans" w:hAnsi="Open Sans"/>
                <w:b/>
                <w:bCs/>
                <w:color w:val="009CA6"/>
                <w:sz w:val="20"/>
                <w:szCs w:val="20"/>
              </w:rPr>
              <w:t xml:space="preserve">structured-data-insights.html</w:t>
            </w:r>
          </w:p>
        </w:tc>
        <w:tc>
          <w:tcPr>
            <w:tcW w:type="dxa" w:w="3200"/>
            <w:tcBorders>
              <w:top w:val="single" w:color="D0D8E4" w:sz="1"/>
              <w:left w:val="single" w:color="D0D8E4" w:sz="1"/>
              <w:bottom w:val="single" w:color="D0D8E4" w:sz="1"/>
              <w:right w:val="single" w:color="D0D8E4" w:sz="1"/>
            </w:tcBorders>
            <w:shd w:fill="E6F5F6" w:val="clear"/>
            <w:tcMar>
              <w:top w:type="dxa" w:w="80"/>
              <w:left w:type="dxa" w:w="120"/>
              <w:bottom w:type="dxa" w:w="80"/>
              <w:right w:type="dxa" w:w="120"/>
            </w:tcMar>
          </w:tcPr>
          <w:p>
            <w:r>
              <w:rPr>
                <w:rFonts w:ascii="Open Sans" w:cs="Open Sans" w:eastAsia="Open Sans" w:hAnsi="Open Sans"/>
                <w:sz w:val="20"/>
                <w:szCs w:val="20"/>
              </w:rPr>
              <w:t xml:space="preserve">Paste &lt;script&gt; block into &lt;head&gt; of insights.html</w:t>
            </w:r>
          </w:p>
        </w:tc>
        <w:tc>
          <w:tcPr>
            <w:tcW w:type="dxa" w:w="1760"/>
            <w:tcBorders>
              <w:top w:val="single" w:color="D0D8E4" w:sz="1"/>
              <w:left w:val="single" w:color="D0D8E4" w:sz="1"/>
              <w:bottom w:val="single" w:color="D0D8E4" w:sz="1"/>
              <w:right w:val="single" w:color="D0D8E4" w:sz="1"/>
            </w:tcBorders>
            <w:shd w:fill="E6F5F6" w:val="clear"/>
            <w:tcMar>
              <w:top w:type="dxa" w:w="80"/>
              <w:left w:type="dxa" w:w="120"/>
              <w:bottom w:type="dxa" w:w="80"/>
              <w:right w:type="dxa" w:w="120"/>
            </w:tcMar>
          </w:tcPr>
          <w:p>
            <w:r>
              <w:rPr>
                <w:rFonts w:ascii="Open Sans" w:cs="Open Sans" w:eastAsia="Open Sans" w:hAnsi="Open Sans"/>
                <w:b w:val="false"/>
                <w:bCs w:val="false"/>
                <w:sz w:val="20"/>
                <w:szCs w:val="20"/>
              </w:rPr>
              <w:t xml:space="preserve">High</w:t>
            </w:r>
          </w:p>
        </w:tc>
      </w:tr>
      <w:tr>
        <w:tc>
          <w:tcPr>
            <w:tcW w:type="dxa" w:w="8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Open Sans" w:cs="Open Sans" w:eastAsia="Open Sans" w:hAnsi="Open Sans"/>
                <w:b/>
                <w:bCs/>
                <w:color w:val="00205B"/>
                <w:sz w:val="20"/>
                <w:szCs w:val="20"/>
              </w:rPr>
              <w:t xml:space="preserve">7</w:t>
            </w:r>
          </w:p>
        </w:tc>
        <w:tc>
          <w:tcPr>
            <w:tcW w:type="dxa" w:w="2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Open Sans" w:cs="Open Sans" w:eastAsia="Open Sans" w:hAnsi="Open Sans"/>
                <w:b/>
                <w:bCs/>
                <w:color w:val="009CA6"/>
                <w:sz w:val="20"/>
                <w:szCs w:val="20"/>
              </w:rPr>
              <w:t xml:space="preserve">meta-tags-all-pages.html</w:t>
            </w:r>
          </w:p>
        </w:tc>
        <w:tc>
          <w:tcPr>
            <w:tcW w:type="dxa" w:w="3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Open Sans" w:cs="Open Sans" w:eastAsia="Open Sans" w:hAnsi="Open Sans"/>
                <w:sz w:val="20"/>
                <w:szCs w:val="20"/>
              </w:rPr>
              <w:t xml:space="preserve">Replace existing &lt;title&gt; and &lt;meta&gt; tags in each page's &lt;head&gt;</w:t>
            </w:r>
          </w:p>
        </w:tc>
        <w:tc>
          <w:tcPr>
            <w:tcW w:type="dxa" w:w="1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Open Sans" w:cs="Open Sans" w:eastAsia="Open Sans" w:hAnsi="Open Sans"/>
                <w:b w:val="false"/>
                <w:bCs w:val="false"/>
                <w:sz w:val="20"/>
                <w:szCs w:val="20"/>
              </w:rPr>
              <w:t xml:space="preserve">High</w:t>
            </w:r>
          </w:p>
        </w:tc>
      </w:tr>
    </w:tbl>
    <w:p>
      <w:pPr>
        <w:spacing w:after="0" w:before="200"/>
      </w:pPr>
    </w:p>
    <w:p>
      <w:pPr>
        <w:pBdr>
          <w:bottom w:val="single" w:color="009CA6" w:sz="4" w:space="1"/>
        </w:pBdr>
        <w:spacing w:after="160" w:before="160"/>
      </w:pPr>
    </w:p>
    <w:p>
      <w:pPr>
        <w:pStyle w:val="Heading1"/>
        <w:spacing w:after="120" w:before="360"/>
      </w:pPr>
      <w:r>
        <w:rPr>
          <w:rFonts w:ascii="Open Sans" w:cs="Open Sans" w:eastAsia="Open Sans" w:hAnsi="Open Sans"/>
          <w:b/>
          <w:bCs/>
          <w:color w:val="00205B"/>
          <w:sz w:val="26"/>
          <w:szCs w:val="26"/>
        </w:rPr>
        <w:t xml:space="preserve">File-by-file guide</w:t>
      </w:r>
    </w:p>
    <w:p>
      <w:pPr>
        <w:pStyle w:val="Heading2"/>
        <w:spacing w:after="80" w:before="280"/>
      </w:pPr>
      <w:r>
        <w:rPr>
          <w:rFonts w:ascii="Open Sans" w:cs="Open Sans" w:eastAsia="Open Sans" w:hAnsi="Open Sans"/>
          <w:b/>
          <w:bCs/>
          <w:color w:val="009CA6"/>
          <w:sz w:val="22"/>
          <w:szCs w:val="22"/>
        </w:rPr>
        <w:t xml:space="preserve">1. llms.txt</w:t>
      </w:r>
    </w:p>
    <w:p>
      <w:pPr>
        <w:spacing w:after="80" w:before="80"/>
      </w:pPr>
      <w:r>
        <w:rPr>
          <w:rFonts w:ascii="Open Sans" w:cs="Open Sans" w:eastAsia="Open Sans" w:hAnsi="Open Sans"/>
          <w:color w:val="1A1A2E"/>
          <w:sz w:val="20"/>
          <w:szCs w:val="20"/>
        </w:rPr>
        <w:t xml:space="preserve">The single most impactful file in this package. This is a plain-text document placed at the site root that AI agents and language models check for when visiting a site — functioning similarly to robots.txt but as a structured summary of what the site is, who it is for, and what each page contains.</w:t>
      </w:r>
    </w:p>
    <w:p>
      <w:pPr>
        <w:spacing w:after="80" w:before="80"/>
      </w:pPr>
      <w:r>
        <w:rPr>
          <w:rFonts w:ascii="Open Sans" w:cs="Open Sans" w:eastAsia="Open Sans" w:hAnsi="Open Sans"/>
          <w:color w:val="1A1A2E"/>
          <w:sz w:val="20"/>
          <w:szCs w:val="20"/>
        </w:rPr>
        <w:t xml:space="preserve">The llms.txt convention was proposed by Jeremy Howard of Answer.AI and is now checked by a growing number of AI tools including Perplexity, several Claude implementations, and OpenAI's browsing-enabled models. Without it, AI agents must infer meaning from the full HTML of each page — with it, they receive a clean, authoritative summary.</w:t>
      </w:r>
    </w:p>
    <w:p>
      <w:pPr>
        <w:spacing w:after="80" w:before="80"/>
      </w:pPr>
      <w:r>
        <w:rPr>
          <w:rFonts w:ascii="Open Sans" w:cs="Open Sans" w:eastAsia="Open Sans" w:hAnsi="Open Sans"/>
          <w:color w:val="1A1A2E"/>
          <w:sz w:val="20"/>
          <w:szCs w:val="20"/>
        </w:rPr>
        <w:t xml:space="preserve">The llms.txt for Aetas ITW includes:</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A single-paragraph description of what Aetas ITW is and who it serves</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The three pillars of the programme, clearly stated</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The four-stage commercial framework (Foundations, Blueprint, Partnership, Individual)</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Key statistics with sources</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Regulatory and legal structure (FCA, ICO registrations)</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Key people and direct contact details</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Annotated links to all key pages</w:t>
      </w:r>
    </w:p>
    <w:p>
      <w:pPr>
        <w:spacing w:after="80" w:before="80"/>
      </w:pPr>
      <w:r>
        <w:rPr>
          <w:rFonts w:ascii="Open Sans" w:cs="Open Sans" w:eastAsia="Open Sans" w:hAnsi="Open Sans"/>
          <w:color w:val="1A1A2E"/>
          <w:sz w:val="20"/>
          <w:szCs w:val="20"/>
        </w:rPr>
        <w:t xml:space="preserve">Deploy: Upload to the site root so it is accessible at itw.aetaspartners.com/llms.txt — no other configuration required.</w:t>
      </w:r>
    </w:p>
    <w:p>
      <w:pPr>
        <w:pStyle w:val="Heading2"/>
        <w:spacing w:after="80" w:before="280"/>
      </w:pPr>
      <w:r>
        <w:rPr>
          <w:rFonts w:ascii="Open Sans" w:cs="Open Sans" w:eastAsia="Open Sans" w:hAnsi="Open Sans"/>
          <w:b/>
          <w:bCs/>
          <w:color w:val="009CA6"/>
          <w:sz w:val="22"/>
          <w:szCs w:val="22"/>
        </w:rPr>
        <w:t xml:space="preserve">2. robots.txt</w:t>
      </w:r>
    </w:p>
    <w:p>
      <w:pPr>
        <w:spacing w:after="80" w:before="80"/>
      </w:pPr>
      <w:r>
        <w:rPr>
          <w:rFonts w:ascii="Open Sans" w:cs="Open Sans" w:eastAsia="Open Sans" w:hAnsi="Open Sans"/>
          <w:color w:val="1A1A2E"/>
          <w:sz w:val="20"/>
          <w:szCs w:val="20"/>
        </w:rPr>
        <w:t xml:space="preserve">The existing robots.txt (if any) may not explicitly permit the major AI crawlers. The new file retains standard behaviour for conventional search engines while explicitly allowing:</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ClaudeBot (Anthropic / Claude)</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GPTBot and ChatGPT-User (OpenAI)</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PerplexityBot (Perplexity AI)</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Google-Extended (Google AI Overviews and Gemini)</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FacebookBot (Meta AI)</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CCBot (Common Crawl — used by many AI training datasets)</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YouBot, BraveBot, cohere-ai</w:t>
      </w:r>
    </w:p>
    <w:p>
      <w:pPr>
        <w:spacing w:after="80" w:before="80"/>
      </w:pPr>
      <w:r>
        <w:rPr>
          <w:rFonts w:ascii="Open Sans" w:cs="Open Sans" w:eastAsia="Open Sans" w:hAnsi="Open Sans"/>
          <w:color w:val="1A1A2E"/>
          <w:sz w:val="20"/>
          <w:szCs w:val="20"/>
        </w:rPr>
        <w:t xml:space="preserve">It also points crawlers to the sitemap and to llms.txt.</w:t>
      </w:r>
    </w:p>
    <w:p>
      <w:pPr>
        <w:spacing w:after="80" w:before="80"/>
      </w:pPr>
      <w:r>
        <w:rPr>
          <w:rFonts w:ascii="Open Sans" w:cs="Open Sans" w:eastAsia="Open Sans" w:hAnsi="Open Sans"/>
          <w:color w:val="1A1A2E"/>
          <w:sz w:val="20"/>
          <w:szCs w:val="20"/>
        </w:rPr>
        <w:t xml:space="preserve">Deploy: Upload to the site root, replacing any existing robots.txt.</w:t>
      </w:r>
    </w:p>
    <w:p>
      <w:pPr>
        <w:pStyle w:val="Heading2"/>
        <w:spacing w:after="80" w:before="280"/>
      </w:pPr>
      <w:r>
        <w:rPr>
          <w:rFonts w:ascii="Open Sans" w:cs="Open Sans" w:eastAsia="Open Sans" w:hAnsi="Open Sans"/>
          <w:b/>
          <w:bCs/>
          <w:color w:val="009CA6"/>
          <w:sz w:val="22"/>
          <w:szCs w:val="22"/>
        </w:rPr>
        <w:t xml:space="preserve">3. sitemap.xml</w:t>
      </w:r>
    </w:p>
    <w:p>
      <w:pPr>
        <w:spacing w:after="80" w:before="80"/>
      </w:pPr>
      <w:r>
        <w:rPr>
          <w:rFonts w:ascii="Open Sans" w:cs="Open Sans" w:eastAsia="Open Sans" w:hAnsi="Open Sans"/>
          <w:color w:val="1A1A2E"/>
          <w:sz w:val="20"/>
          <w:szCs w:val="20"/>
        </w:rPr>
        <w:t xml:space="preserve">A properly formatted XML sitemap covering all key pages with last-modified dates, change frequencies, and priority scores. This helps AI crawlers and conventional search engines understand the full site structure efficiently.</w:t>
      </w:r>
    </w:p>
    <w:p>
      <w:pPr>
        <w:spacing w:after="80" w:before="80"/>
      </w:pPr>
      <w:r>
        <w:rPr>
          <w:rFonts w:ascii="Open Sans" w:cs="Open Sans" w:eastAsia="Open Sans" w:hAnsi="Open Sans"/>
          <w:color w:val="1A1A2E"/>
          <w:sz w:val="20"/>
          <w:szCs w:val="20"/>
        </w:rPr>
        <w:t xml:space="preserve">Pages included: homepage, limited companies, charities, diagnostic, insights, FAQs, privacy policy, and llms.txt.</w:t>
      </w:r>
    </w:p>
    <w:p>
      <w:pPr>
        <w:spacing w:after="80" w:before="80"/>
      </w:pPr>
      <w:r>
        <w:rPr>
          <w:rFonts w:ascii="Open Sans" w:cs="Open Sans" w:eastAsia="Open Sans" w:hAnsi="Open Sans"/>
          <w:color w:val="1A1A2E"/>
          <w:sz w:val="20"/>
          <w:szCs w:val="20"/>
        </w:rPr>
        <w:t xml:space="preserve">Deploy: Upload to the site root. The URL itw.aetaspartners.com/sitemap.xml should resolve. Also add the following line to Google Search Console if you use it: Sitemaps &gt; Add a new sitemap &gt; https://itw.aetaspartners.com/sitemap.xml</w:t>
      </w:r>
    </w:p>
    <w:p>
      <w:pPr>
        <w:pStyle w:val="Heading2"/>
        <w:spacing w:after="80" w:before="280"/>
      </w:pPr>
      <w:r>
        <w:rPr>
          <w:rFonts w:ascii="Open Sans" w:cs="Open Sans" w:eastAsia="Open Sans" w:hAnsi="Open Sans"/>
          <w:b/>
          <w:bCs/>
          <w:color w:val="009CA6"/>
          <w:sz w:val="22"/>
          <w:szCs w:val="22"/>
        </w:rPr>
        <w:t xml:space="preserve">4. Structured data — homepage (JSON-LD)</w:t>
      </w:r>
    </w:p>
    <w:p>
      <w:pPr>
        <w:spacing w:after="80" w:before="80"/>
      </w:pPr>
      <w:r>
        <w:rPr>
          <w:rFonts w:ascii="Open Sans" w:cs="Open Sans" w:eastAsia="Open Sans" w:hAnsi="Open Sans"/>
          <w:color w:val="1A1A2E"/>
          <w:sz w:val="20"/>
          <w:szCs w:val="20"/>
        </w:rPr>
        <w:t xml:space="preserve">JSON-LD is the format Google, Bing, and major AI agents use to understand what a page is. It is embedded in the &lt;head&gt; of each HTML page as a &lt;script type="application/ld+json"&gt; block — invisible to users but fully readable to machines.</w:t>
      </w:r>
    </w:p>
    <w:p>
      <w:pPr>
        <w:spacing w:after="80" w:before="80"/>
      </w:pPr>
      <w:r>
        <w:rPr>
          <w:rFonts w:ascii="Open Sans" w:cs="Open Sans" w:eastAsia="Open Sans" w:hAnsi="Open Sans"/>
          <w:color w:val="1A1A2E"/>
          <w:sz w:val="20"/>
          <w:szCs w:val="20"/>
        </w:rPr>
        <w:t xml:space="preserve">The homepage block includes five Schema.org entities:</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Organization — defines Aetas ITW as an entity with name, description, URL, contact details, regulatory registrations, and topic expertise</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WebSite — identifies the site and its publisher</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WebPage — describes this specific page</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ProfessionalService — describes the service offering, including all four commercial stages as Offer objects</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FAQPage — includes four common questions and full answers, eligible for Google's FAQ rich results</w:t>
      </w:r>
    </w:p>
    <w:p>
      <w:pPr>
        <w:spacing w:after="80" w:before="80"/>
      </w:pPr>
      <w:r>
        <w:rPr>
          <w:rFonts w:ascii="Open Sans" w:cs="Open Sans" w:eastAsia="Open Sans" w:hAnsi="Open Sans"/>
          <w:color w:val="1A1A2E"/>
          <w:sz w:val="20"/>
          <w:szCs w:val="20"/>
        </w:rPr>
        <w:t xml:space="preserve">The Person entity for Matthew Steiner is included with job title, contact details, and known areas of expertise — making him citable as the authoritative individual behind the service.</w:t>
      </w:r>
    </w:p>
    <w:p>
      <w:pPr>
        <w:spacing w:after="80" w:before="80"/>
      </w:pPr>
      <w:r>
        <w:rPr>
          <w:rFonts w:ascii="Open Sans" w:cs="Open Sans" w:eastAsia="Open Sans" w:hAnsi="Open Sans"/>
          <w:color w:val="1A1A2E"/>
          <w:sz w:val="20"/>
          <w:szCs w:val="20"/>
        </w:rPr>
        <w:t xml:space="preserve">Deploy: Open index.html in a code editor. Paste the full &lt;script&gt; block immediately before &lt;/head&gt;. Save and republish.</w:t>
      </w:r>
    </w:p>
    <w:p>
      <w:pPr>
        <w:pStyle w:val="Heading2"/>
        <w:spacing w:after="80" w:before="280"/>
      </w:pPr>
      <w:r>
        <w:rPr>
          <w:rFonts w:ascii="Open Sans" w:cs="Open Sans" w:eastAsia="Open Sans" w:hAnsi="Open Sans"/>
          <w:b/>
          <w:bCs/>
          <w:color w:val="009CA6"/>
          <w:sz w:val="22"/>
          <w:szCs w:val="22"/>
        </w:rPr>
        <w:t xml:space="preserve">5. Structured data — FAQs page (JSON-LD)</w:t>
      </w:r>
    </w:p>
    <w:p>
      <w:pPr>
        <w:spacing w:after="80" w:before="80"/>
      </w:pPr>
      <w:r>
        <w:rPr>
          <w:rFonts w:ascii="Open Sans" w:cs="Open Sans" w:eastAsia="Open Sans" w:hAnsi="Open Sans"/>
          <w:color w:val="1A1A2E"/>
          <w:sz w:val="20"/>
          <w:szCs w:val="20"/>
        </w:rPr>
        <w:t xml:space="preserve">The FAQs page contains 14 substantive questions and answers that are exactly the kind of content AI agents cite when answering employer queries about financial wellbeing programmes. Without structured data, agents have to parse the accordion-format HTML and may misrepresent or miss the content entirely. With this FAQPage schema in place, every question and answer is machine-readable in a single structured block.</w:t>
      </w:r>
    </w:p>
    <w:p>
      <w:pPr>
        <w:spacing w:after="80" w:before="80"/>
      </w:pPr>
      <w:r>
        <w:rPr>
          <w:rFonts w:ascii="Open Sans" w:cs="Open Sans" w:eastAsia="Open Sans" w:hAnsi="Open Sans"/>
          <w:color w:val="1A1A2E"/>
          <w:sz w:val="20"/>
          <w:szCs w:val="20"/>
        </w:rPr>
        <w:t xml:space="preserve">This also qualifies the FAQs page for Google's FAQ rich results — expanding its search real estate and making it more likely to appear in AI Overviews.</w:t>
      </w:r>
    </w:p>
    <w:p>
      <w:pPr>
        <w:spacing w:after="80" w:before="80"/>
      </w:pPr>
      <w:r>
        <w:rPr>
          <w:rFonts w:ascii="Open Sans" w:cs="Open Sans" w:eastAsia="Open Sans" w:hAnsi="Open Sans"/>
          <w:color w:val="1A1A2E"/>
          <w:sz w:val="20"/>
          <w:szCs w:val="20"/>
        </w:rPr>
        <w:t xml:space="preserve">Deploy: Open faqs.html and paste the &lt;script&gt; block into &lt;head&gt;.</w:t>
      </w:r>
    </w:p>
    <w:p>
      <w:pPr>
        <w:pStyle w:val="Heading2"/>
        <w:spacing w:after="80" w:before="280"/>
      </w:pPr>
      <w:r>
        <w:rPr>
          <w:rFonts w:ascii="Open Sans" w:cs="Open Sans" w:eastAsia="Open Sans" w:hAnsi="Open Sans"/>
          <w:b/>
          <w:bCs/>
          <w:color w:val="009CA6"/>
          <w:sz w:val="22"/>
          <w:szCs w:val="22"/>
        </w:rPr>
        <w:t xml:space="preserve">6. Structured data — insights page (JSON-LD)</w:t>
      </w:r>
    </w:p>
    <w:p>
      <w:pPr>
        <w:spacing w:after="80" w:before="80"/>
      </w:pPr>
      <w:r>
        <w:rPr>
          <w:rFonts w:ascii="Open Sans" w:cs="Open Sans" w:eastAsia="Open Sans" w:hAnsi="Open Sans"/>
          <w:color w:val="1A1A2E"/>
          <w:sz w:val="20"/>
          <w:szCs w:val="20"/>
        </w:rPr>
        <w:t xml:space="preserve">The Insights page is marked up as a CollectionPage with individual Article entities for each published piece. Each article includes author (Matthew Steiner), publication date, description, and keywords — giving AI agents enough to cite specific articles by topic without needing to visit each individual article URL.</w:t>
      </w:r>
    </w:p>
    <w:p>
      <w:pPr>
        <w:spacing w:after="80" w:before="80"/>
      </w:pPr>
      <w:r>
        <w:rPr>
          <w:rFonts w:ascii="Open Sans" w:cs="Open Sans" w:eastAsia="Open Sans" w:hAnsi="Open Sans"/>
          <w:color w:val="1A1A2E"/>
          <w:sz w:val="20"/>
          <w:szCs w:val="20"/>
        </w:rPr>
        <w:t xml:space="preserve">As new articles are published, add an additional hasPart entry to this block following the same format.</w:t>
      </w:r>
    </w:p>
    <w:p>
      <w:pPr>
        <w:pStyle w:val="Heading2"/>
        <w:spacing w:after="80" w:before="280"/>
      </w:pPr>
      <w:r>
        <w:rPr>
          <w:rFonts w:ascii="Open Sans" w:cs="Open Sans" w:eastAsia="Open Sans" w:hAnsi="Open Sans"/>
          <w:b/>
          <w:bCs/>
          <w:color w:val="009CA6"/>
          <w:sz w:val="22"/>
          <w:szCs w:val="22"/>
        </w:rPr>
        <w:t xml:space="preserve">7. Optimised meta tags (all pages)</w:t>
      </w:r>
    </w:p>
    <w:p>
      <w:pPr>
        <w:spacing w:after="80" w:before="80"/>
      </w:pPr>
      <w:r>
        <w:rPr>
          <w:rFonts w:ascii="Open Sans" w:cs="Open Sans" w:eastAsia="Open Sans" w:hAnsi="Open Sans"/>
          <w:color w:val="1A1A2E"/>
          <w:sz w:val="20"/>
          <w:szCs w:val="20"/>
        </w:rPr>
        <w:t xml:space="preserve">Meta tags are the first thing crawlers read. The file contains optimised title tags and meta descriptions for all six main pages, plus Open Graph tags (used by LinkedIn, WhatsApp, and other platforms for link previews) and Twitter card data.</w:t>
      </w:r>
    </w:p>
    <w:p>
      <w:pPr>
        <w:spacing w:after="80" w:before="80"/>
      </w:pPr>
      <w:r>
        <w:rPr>
          <w:rFonts w:ascii="Open Sans" w:cs="Open Sans" w:eastAsia="Open Sans" w:hAnsi="Open Sans"/>
          <w:color w:val="1A1A2E"/>
          <w:sz w:val="20"/>
          <w:szCs w:val="20"/>
        </w:rPr>
        <w:t xml:space="preserve">Key changes from typical defaults:</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Title tags are specific and keyword-rich, not just the site name</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Descriptions are outcome-focused, not generic — they describe what a potential client gets, not what the page contains</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Open Graph descriptions are written for professional sharing contexts, particularly LinkedIn where your audience is active</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A custom ai-agent-summary meta tag is included on the homepage — a forward-looking signal that some AI agents already read</w:t>
      </w:r>
    </w:p>
    <w:p>
      <w:pPr>
        <w:spacing w:after="80" w:before="80"/>
      </w:pPr>
      <w:r>
        <w:rPr>
          <w:rFonts w:ascii="Open Sans" w:cs="Open Sans" w:eastAsia="Open Sans" w:hAnsi="Open Sans"/>
          <w:color w:val="1A1A2E"/>
          <w:sz w:val="20"/>
          <w:szCs w:val="20"/>
        </w:rPr>
        <w:t xml:space="preserve">Deploy: In each HTML file, find the existing &lt;title&gt; and &lt;meta name="description"&gt; tags and replace them with the corresponding block from the meta-tags file.</w:t>
      </w:r>
    </w:p>
    <w:p>
      <w:pPr>
        <w:pBdr>
          <w:bottom w:val="single" w:color="009CA6" w:sz="4" w:space="1"/>
        </w:pBdr>
        <w:spacing w:after="160" w:before="160"/>
      </w:pPr>
    </w:p>
    <w:p>
      <w:pPr>
        <w:pStyle w:val="Heading1"/>
        <w:spacing w:after="120" w:before="360"/>
      </w:pPr>
      <w:r>
        <w:rPr>
          <w:rFonts w:ascii="Open Sans" w:cs="Open Sans" w:eastAsia="Open Sans" w:hAnsi="Open Sans"/>
          <w:b/>
          <w:bCs/>
          <w:color w:val="00205B"/>
          <w:sz w:val="26"/>
          <w:szCs w:val="26"/>
        </w:rPr>
        <w:t xml:space="preserve">What AI agents will now be able to do</w:t>
      </w:r>
    </w:p>
    <w:p>
      <w:pPr>
        <w:spacing w:after="80" w:before="80"/>
      </w:pPr>
      <w:r>
        <w:rPr>
          <w:rFonts w:ascii="Open Sans" w:cs="Open Sans" w:eastAsia="Open Sans" w:hAnsi="Open Sans"/>
          <w:color w:val="1A1A2E"/>
          <w:sz w:val="20"/>
          <w:szCs w:val="20"/>
        </w:rPr>
        <w:t xml:space="preserve">Once this package is deployed, AI agents visiting or indexing itw.aetaspartners.com will be able to:</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Identify Aetas ITW as a consultancy-led financial wellbeing service for UK SMEs and not-for-profits, distinct from EAPs and generic platforms</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Name Matthew Steiner as the contact and cite his direct email and phone number accurately</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Describe the three-pillar structure (benefits consultancy, financial resilience workshops, wellbeing initiatives) and the four commercial stages</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Quote the key statistics correctly (£51bn productivity cost, £6.2bn absenteeism cost, 9.4 absence days, 50–200% replacement cost) and attribute them appropriately</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Distinguish the regulated element (Aetas Wealth, FCA 458421) from the consultancy element (Aetas Partners)</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Cite individual Insights articles by topic, date, and author</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Direct users to the Diagnostic tool as a practical entry point</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Answer common employer questions (cost, timeline, EAP difference, data handling) accurately from the FAQPage schema</w:t>
      </w:r>
    </w:p>
    <w:p>
      <w:pPr>
        <w:pBdr>
          <w:bottom w:val="single" w:color="009CA6" w:sz="4" w:space="1"/>
        </w:pBdr>
        <w:spacing w:after="160" w:before="160"/>
      </w:pPr>
    </w:p>
    <w:p>
      <w:pPr>
        <w:pStyle w:val="Heading1"/>
        <w:spacing w:after="120" w:before="360"/>
      </w:pPr>
      <w:r>
        <w:rPr>
          <w:rFonts w:ascii="Open Sans" w:cs="Open Sans" w:eastAsia="Open Sans" w:hAnsi="Open Sans"/>
          <w:b/>
          <w:bCs/>
          <w:color w:val="00205B"/>
          <w:sz w:val="26"/>
          <w:szCs w:val="26"/>
        </w:rPr>
        <w:t xml:space="preserve">Ongoing maintenance</w:t>
      </w:r>
    </w:p>
    <w:p>
      <w:pPr>
        <w:pStyle w:val="Heading2"/>
        <w:spacing w:after="80" w:before="280"/>
      </w:pPr>
      <w:r>
        <w:rPr>
          <w:rFonts w:ascii="Open Sans" w:cs="Open Sans" w:eastAsia="Open Sans" w:hAnsi="Open Sans"/>
          <w:b/>
          <w:bCs/>
          <w:color w:val="009CA6"/>
          <w:sz w:val="22"/>
          <w:szCs w:val="22"/>
        </w:rPr>
        <w:t xml:space="preserve">When to update llms.txt</w:t>
      </w:r>
    </w:p>
    <w:p>
      <w:pPr>
        <w:spacing w:after="80" w:before="80"/>
      </w:pPr>
      <w:r>
        <w:rPr>
          <w:rFonts w:ascii="Open Sans" w:cs="Open Sans" w:eastAsia="Open Sans" w:hAnsi="Open Sans"/>
          <w:color w:val="1A1A2E"/>
          <w:sz w:val="20"/>
          <w:szCs w:val="20"/>
        </w:rPr>
        <w:t xml:space="preserve">Update llms.txt whenever: a new service area is added; a new key team member joins; contact details change; a significant new page is added to the site.</w:t>
      </w:r>
    </w:p>
    <w:p>
      <w:pPr>
        <w:pStyle w:val="Heading2"/>
        <w:spacing w:after="80" w:before="280"/>
      </w:pPr>
      <w:r>
        <w:rPr>
          <w:rFonts w:ascii="Open Sans" w:cs="Open Sans" w:eastAsia="Open Sans" w:hAnsi="Open Sans"/>
          <w:b/>
          <w:bCs/>
          <w:color w:val="009CA6"/>
          <w:sz w:val="22"/>
          <w:szCs w:val="22"/>
        </w:rPr>
        <w:t xml:space="preserve">When to update structured data</w:t>
      </w:r>
    </w:p>
    <w:p>
      <w:pPr>
        <w:spacing w:after="80" w:before="80"/>
      </w:pPr>
      <w:r>
        <w:rPr>
          <w:rFonts w:ascii="Open Sans" w:cs="Open Sans" w:eastAsia="Open Sans" w:hAnsi="Open Sans"/>
          <w:color w:val="1A1A2E"/>
          <w:sz w:val="20"/>
          <w:szCs w:val="20"/>
        </w:rPr>
        <w:t xml:space="preserve">Update the insights JSON-LD each time a new article is published. Update the homepage and FAQs structured data if the programme structure, fee stages, or regulatory registrations change.</w:t>
      </w:r>
    </w:p>
    <w:p>
      <w:pPr>
        <w:pStyle w:val="Heading2"/>
        <w:spacing w:after="80" w:before="280"/>
      </w:pPr>
      <w:r>
        <w:rPr>
          <w:rFonts w:ascii="Open Sans" w:cs="Open Sans" w:eastAsia="Open Sans" w:hAnsi="Open Sans"/>
          <w:b/>
          <w:bCs/>
          <w:color w:val="009CA6"/>
          <w:sz w:val="22"/>
          <w:szCs w:val="22"/>
        </w:rPr>
        <w:t xml:space="preserve">When to update the sitemap</w:t>
      </w:r>
    </w:p>
    <w:p>
      <w:pPr>
        <w:spacing w:after="80" w:before="80"/>
      </w:pPr>
      <w:r>
        <w:rPr>
          <w:rFonts w:ascii="Open Sans" w:cs="Open Sans" w:eastAsia="Open Sans" w:hAnsi="Open Sans"/>
          <w:color w:val="1A1A2E"/>
          <w:sz w:val="20"/>
          <w:szCs w:val="20"/>
        </w:rPr>
        <w:t xml:space="preserve">Update the sitemap whenever a new page is added or an existing page is substantially revised. Keep the lastmod dates current — AI crawlers use them to prioritise revisits.</w:t>
      </w:r>
    </w:p>
    <w:p>
      <w:pPr>
        <w:pStyle w:val="Heading2"/>
        <w:spacing w:after="80" w:before="280"/>
      </w:pPr>
      <w:r>
        <w:rPr>
          <w:rFonts w:ascii="Open Sans" w:cs="Open Sans" w:eastAsia="Open Sans" w:hAnsi="Open Sans"/>
          <w:b/>
          <w:bCs/>
          <w:color w:val="009CA6"/>
          <w:sz w:val="22"/>
          <w:szCs w:val="22"/>
        </w:rPr>
        <w:t xml:space="preserve">Future considerations</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Publish individual articles on the itw.aetaspartners.com domain rather than aetas-partners.com — this concentrates domain authority and makes the ITW site a richer target for AI citation</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Add structured data to the charities and limited companies pages following the same pattern as the homepage — both are audience-specific and benefit from their own entity definitions</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Consider adding BreadcrumbList schema to each page to reinforce the site hierarchy for crawlers</w:t>
      </w:r>
    </w:p>
    <w:p>
      <w:pPr>
        <w:pStyle w:val="ListParagraph"/>
        <w:numPr>
          <w:ilvl w:val="0"/>
          <w:numId w:val="2"/>
        </w:numPr>
        <w:spacing w:after="40" w:before="40"/>
      </w:pPr>
      <w:r>
        <w:rPr>
          <w:rFonts w:ascii="Open Sans" w:cs="Open Sans" w:eastAsia="Open Sans" w:hAnsi="Open Sans"/>
          <w:b w:val="false"/>
          <w:bCs w:val="false"/>
          <w:color w:val="1A1A2E"/>
          <w:sz w:val="20"/>
          <w:szCs w:val="20"/>
        </w:rPr>
        <w:t xml:space="preserve">Review Google Search Console (if in use) for any structured data errors after deployment — Google's Rich Results Test at search.google.com/test/rich-results can validate each page before publishing</w:t>
      </w:r>
    </w:p>
    <w:p>
      <w:pPr>
        <w:pBdr>
          <w:bottom w:val="single" w:color="009CA6" w:sz="4" w:space="1"/>
        </w:pBdr>
        <w:spacing w:after="160" w:before="160"/>
      </w:pPr>
    </w:p>
    <w:p>
      <w:pPr>
        <w:spacing w:after="40" w:before="200"/>
      </w:pPr>
      <w:r>
        <w:rPr>
          <w:rFonts w:ascii="Open Sans" w:cs="Open Sans" w:eastAsia="Open Sans" w:hAnsi="Open Sans"/>
          <w:color w:val="888888"/>
          <w:sz w:val="18"/>
          <w:szCs w:val="18"/>
        </w:rPr>
        <w:t xml:space="preserve">Aetas in the Workplace  ·  Where employee wellbeing meets business performance</w:t>
      </w:r>
    </w:p>
    <w:p>
      <w:pPr>
        <w:spacing w:after="0" w:before="0"/>
      </w:pPr>
      <w:r>
        <w:rPr>
          <w:rFonts w:ascii="Open Sans" w:cs="Open Sans" w:eastAsia="Open Sans" w:hAnsi="Open Sans"/>
          <w:color w:val="009CA6"/>
          <w:sz w:val="18"/>
          <w:szCs w:val="18"/>
        </w:rPr>
        <w:t xml:space="preserve">enquiries@aetas-partners.com  ·  020 3633 0579  ·  itw.aetaspartners.com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Open Sans" w:cs="Open Sans" w:eastAsia="Open Sans" w:hAnsi="Open Sans"/>
      <w:b/>
      <w:bCs/>
      <w:color w:val="00205B"/>
      <w:sz w:val="26"/>
      <w:szCs w:val="26"/>
    </w:rPr>
  </w:style>
  <w:style w:type="paragraph" w:styleId="Heading2">
    <w:name w:val="Heading 2"/>
    <w:basedOn w:val="Normal"/>
    <w:next w:val="Normal"/>
    <w:qFormat/>
    <w:pPr>
      <w:spacing w:after="80" w:before="280"/>
      <w:outlineLvl w:val="1"/>
    </w:pPr>
    <w:rPr>
      <w:rFonts w:ascii="Open Sans" w:cs="Open Sans" w:eastAsia="Open Sans" w:hAnsi="Open Sans"/>
      <w:b/>
      <w:bCs/>
      <w:color w:val="009CA6"/>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8DDD5CE32F734AA22B5C31655D71E8" ma:contentTypeVersion="19" ma:contentTypeDescription="Create a new document." ma:contentTypeScope="" ma:versionID="3bda209d30d77f1a51551963b230ab9d">
  <xsd:schema xmlns:xsd="http://www.w3.org/2001/XMLSchema" xmlns:xs="http://www.w3.org/2001/XMLSchema" xmlns:p="http://schemas.microsoft.com/office/2006/metadata/properties" xmlns:ns2="a009ee37-fe13-4366-9251-4927299ef7b7" xmlns:ns3="a8f0582e-791d-40e7-83d2-22bcf03ea0a6" targetNamespace="http://schemas.microsoft.com/office/2006/metadata/properties" ma:root="true" ma:fieldsID="3e5644ba686694e29de57f768d1a6539" ns2:_="" ns3:_="">
    <xsd:import namespace="a009ee37-fe13-4366-9251-4927299ef7b7"/>
    <xsd:import namespace="a8f0582e-791d-40e7-83d2-22bcf03ea0a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Permissions" minOccurs="0"/>
                <xsd:element ref="ns3:MediaLengthInSecond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09ee37-fe13-4366-9251-4927299ef7b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50bd508-a9fb-46bc-a268-38cf7c16fc1f}" ma:internalName="TaxCatchAll" ma:showField="CatchAllData" ma:web="a009ee37-fe13-4366-9251-4927299ef7b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f0582e-791d-40e7-83d2-22bcf03ea0a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4459316-b271-4144-9d6b-c53f059963a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Permissions" ma:index="22" nillable="true" ma:displayName="Permissions" ma:default="None" ma:description="A list of existing permissions for the folder." ma:format="Dropdown" ma:internalName="Permissions">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009ee37-fe13-4366-9251-4927299ef7b7" xsi:nil="true"/>
    <lcf76f155ced4ddcb4097134ff3c332f xmlns="a8f0582e-791d-40e7-83d2-22bcf03ea0a6">
      <Terms xmlns="http://schemas.microsoft.com/office/infopath/2007/PartnerControls"/>
    </lcf76f155ced4ddcb4097134ff3c332f>
    <Permissions xmlns="a8f0582e-791d-40e7-83d2-22bcf03ea0a6">None</Permissions>
  </documentManagement>
</p:properties>
</file>

<file path=customXml/itemProps1.xml><?xml version="1.0" encoding="utf-8"?>
<ds:datastoreItem xmlns:ds="http://schemas.openxmlformats.org/officeDocument/2006/customXml" ds:itemID="{DEABED69-C7E7-43D8-8B37-1A55A203E018}"/>
</file>

<file path=customXml/itemProps2.xml><?xml version="1.0" encoding="utf-8"?>
<ds:datastoreItem xmlns:ds="http://schemas.openxmlformats.org/officeDocument/2006/customXml" ds:itemID="{D5ED3D54-B89C-4BA7-9D72-49B8490976B1}"/>
</file>

<file path=customXml/itemProps3.xml><?xml version="1.0" encoding="utf-8"?>
<ds:datastoreItem xmlns:ds="http://schemas.openxmlformats.org/officeDocument/2006/customXml" ds:itemID="{22439C95-1CCC-4FDE-BC3A-E1BDF0B90D9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2026-04-28T17:01:21Z</dcterms:created>
  <dcterms:modified xsi:type="dcterms:W3CDTF">2026-04-28T17:01:21Z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0x010100B58DDD5CE32F734AA22B5C31655D71E8</vt:lpwstr>
  </property>
</Properties>
</file>