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20"/>
        <w:jc w:val="center"/>
      </w:pPr>
      <w:r>
        <w:rPr>
          <w:rFonts w:ascii="Arial" w:cs="Arial" w:eastAsia="Arial" w:hAnsi="Arial"/>
          <w:b/>
          <w:bCs/>
          <w:color w:val="1F4E79"/>
          <w:sz w:val="56"/>
          <w:szCs w:val="56"/>
        </w:rPr>
        <w:t xml:space="preserve">The Deep Dive</w:t>
      </w:r>
    </w:p>
    <w:p>
      <w:pPr>
        <w:spacing w:after="80"/>
        <w:jc w:val="center"/>
      </w:pPr>
      <w:r>
        <w:rPr>
          <w:rFonts w:ascii="Arial" w:cs="Arial" w:eastAsia="Arial" w:hAnsi="Arial"/>
          <w:color w:val="2E75B6"/>
          <w:sz w:val="24"/>
          <w:szCs w:val="24"/>
        </w:rPr>
        <w:t xml:space="preserve">Aggregation per case, SAR typologies, every threshold, weight derivations, and tier logic</w:t>
      </w:r>
    </w:p>
    <w:p>
      <w:pPr>
        <w:spacing w:after="400"/>
        <w:jc w:val="center"/>
      </w:pPr>
      <w:r>
        <w:rPr>
          <w:rFonts w:ascii="Arial" w:cs="Arial" w:eastAsia="Arial" w:hAnsi="Arial"/>
          <w:color w:val="888888"/>
          <w:sz w:val="20"/>
          <w:szCs w:val="20"/>
        </w:rPr>
        <w:t xml:space="preserve">Team Baymax · Agent 1 · Barclays Hack-O-Hire</w:t>
      </w:r>
    </w:p>
    <w:p>
      <w:pPr>
        <w:pStyle w:val="Heading1"/>
      </w:pPr>
      <w:r>
        <w:rPr>
          <w:rFonts w:ascii="Arial" w:cs="Arial" w:eastAsia="Arial" w:hAnsi="Arial"/>
          <w:b/>
          <w:bCs/>
          <w:color w:val="1F4E79"/>
          <w:sz w:val="32"/>
          <w:szCs w:val="32"/>
        </w:rPr>
        <w:t xml:space="preserve">1.  Everything Is Per Case — What That Actually Means</w:t>
      </w:r>
    </w:p>
    <w:p>
      <w:pPr>
        <w:spacing w:after="140"/>
      </w:pPr>
      <w:r>
        <w:rPr>
          <w:rFonts w:ascii="Arial" w:cs="Arial" w:eastAsia="Arial" w:hAnsi="Arial"/>
          <w:b w:val="false"/>
          <w:bCs w:val="false"/>
          <w:color w:val="333333"/>
          <w:sz w:val="20"/>
          <w:szCs w:val="20"/>
        </w:rPr>
        <w:t xml:space="preserve">Yes — every single column in the aggregated dataset represents a calculation over all transactions belonging to one case_id. The unit of analysis is the case, not the transaction and not the account.</w:t>
      </w:r>
    </w:p>
    <w:p>
      <w:pPr>
        <w:spacing w:after="80"/>
      </w:pPr>
      <w:r>
        <w:t xml:space="preserve"/>
      </w:r>
    </w:p>
    <w:p>
      <w:pPr>
        <w:spacing w:after="140"/>
      </w:pPr>
      <w:r>
        <w:rPr>
          <w:rFonts w:ascii="Arial" w:cs="Arial" w:eastAsia="Arial" w:hAnsi="Arial"/>
          <w:b w:val="false"/>
          <w:bCs w:val="false"/>
          <w:color w:val="333333"/>
          <w:sz w:val="20"/>
          <w:szCs w:val="20"/>
        </w:rPr>
        <w:t xml:space="preserve">A case_id is an investigation unit. It links together a set of transactions, the account they flowed through, and the alerts that fired. One case can have 3 transactions or 100 transactions. All of them get collapsed into a single row of summary statistics.</w:t>
      </w:r>
    </w:p>
    <w:p>
      <w:pPr>
        <w:spacing w:after="80"/>
      </w:pPr>
      <w:r>
        <w:t xml:space="preserve"/>
      </w:r>
    </w:p>
    <w:p>
      <w:pPr>
        <w:spacing w:after="140"/>
      </w:pPr>
      <w:r>
        <w:rPr>
          <w:rFonts w:ascii="Arial" w:cs="Arial" w:eastAsia="Arial" w:hAnsi="Arial"/>
          <w:b/>
          <w:bCs/>
          <w:color w:val="333333"/>
          <w:sz w:val="20"/>
          <w:szCs w:val="20"/>
        </w:rPr>
        <w:t xml:space="preserve">The join chain is:</w:t>
      </w:r>
    </w:p>
    <w:p>
      <w:pPr>
        <w:pStyle w:val="ListParagraph"/>
        <w:numPr>
          <w:ilvl w:val="0"/>
          <w:numId w:val="2"/>
        </w:numPr>
        <w:spacing w:after="80"/>
      </w:pPr>
      <w:r>
        <w:rPr>
          <w:rFonts w:ascii="Arial" w:cs="Arial" w:eastAsia="Arial" w:hAnsi="Arial"/>
          <w:color w:val="333333"/>
          <w:sz w:val="20"/>
          <w:szCs w:val="20"/>
        </w:rPr>
        <w:t xml:space="preserve">alerts.csv provides the case_id — it is the master table that defines what constitutes a case</w:t>
      </w:r>
    </w:p>
    <w:p>
      <w:pPr>
        <w:pStyle w:val="ListParagraph"/>
        <w:numPr>
          <w:ilvl w:val="0"/>
          <w:numId w:val="2"/>
        </w:numPr>
        <w:spacing w:after="80"/>
      </w:pPr>
      <w:r>
        <w:rPr>
          <w:rFonts w:ascii="Arial" w:cs="Arial" w:eastAsia="Arial" w:hAnsi="Arial"/>
          <w:color w:val="333333"/>
          <w:sz w:val="20"/>
          <w:szCs w:val="20"/>
        </w:rPr>
        <w:t xml:space="preserve">transactions.csv links to the case via case_id — all transactions for that case are pulled</w:t>
      </w:r>
    </w:p>
    <w:p>
      <w:pPr>
        <w:pStyle w:val="ListParagraph"/>
        <w:numPr>
          <w:ilvl w:val="0"/>
          <w:numId w:val="2"/>
        </w:numPr>
        <w:spacing w:after="80"/>
      </w:pPr>
      <w:r>
        <w:rPr>
          <w:rFonts w:ascii="Arial" w:cs="Arial" w:eastAsia="Arial" w:hAnsi="Arial"/>
          <w:color w:val="333333"/>
          <w:sz w:val="20"/>
          <w:szCs w:val="20"/>
        </w:rPr>
        <w:t xml:space="preserve">accounts.csv links via account_id — gives us account metadata (open_date, type, bank)</w:t>
      </w:r>
    </w:p>
    <w:p>
      <w:pPr>
        <w:pStyle w:val="ListParagraph"/>
        <w:numPr>
          <w:ilvl w:val="0"/>
          <w:numId w:val="2"/>
        </w:numPr>
        <w:spacing w:after="80"/>
      </w:pPr>
      <w:r>
        <w:rPr>
          <w:rFonts w:ascii="Arial" w:cs="Arial" w:eastAsia="Arial" w:hAnsi="Arial"/>
          <w:color w:val="333333"/>
          <w:sz w:val="20"/>
          <w:szCs w:val="20"/>
        </w:rPr>
        <w:t xml:space="preserve">customers.csv links via customer_id — gives us KYC data (nationality, income, risk, PEP)</w:t>
      </w:r>
    </w:p>
    <w:p>
      <w:pPr>
        <w:spacing w:after="80"/>
      </w:pPr>
      <w:r>
        <w:t xml:space="preserve"/>
      </w:r>
    </w:p>
    <w:p>
      <w:pPr>
        <w:spacing w:after="140"/>
      </w:pPr>
      <w:r>
        <w:rPr>
          <w:rFonts w:ascii="Arial" w:cs="Arial" w:eastAsia="Arial" w:hAnsi="Arial"/>
          <w:b w:val="false"/>
          <w:bCs w:val="false"/>
          <w:color w:val="333333"/>
          <w:sz w:val="20"/>
          <w:szCs w:val="20"/>
        </w:rPr>
        <w:t xml:space="preserve">Result: one row in the aggregated file = one complete investigation case, with all its transactions summarised.</w:t>
      </w:r>
    </w:p>
    <w:p>
      <w:pPr>
        <w:spacing w:after="160"/>
      </w:pPr>
      <w:r>
        <w:t xml:space="preserve"/>
      </w:r>
    </w:p>
    <w:p>
      <w:pPr>
        <w:pStyle w:val="Heading2"/>
      </w:pPr>
      <w:r>
        <w:rPr>
          <w:rFonts w:ascii="Arial" w:cs="Arial" w:eastAsia="Arial" w:hAnsi="Arial"/>
          <w:b/>
          <w:bCs/>
          <w:color w:val="2E75B6"/>
          <w:sz w:val="26"/>
          <w:szCs w:val="26"/>
        </w:rPr>
        <w:t xml:space="preserve">1.1  Concrete Example — CASE-2026-0001 (5 transactions)</w:t>
      </w:r>
    </w:p>
    <w:p>
      <w:pPr>
        <w:spacing w:after="140"/>
      </w:pPr>
      <w:r>
        <w:rPr>
          <w:rFonts w:ascii="Arial" w:cs="Arial" w:eastAsia="Arial" w:hAnsi="Arial"/>
          <w:b w:val="false"/>
          <w:bCs w:val="false"/>
          <w:color w:val="333333"/>
          <w:sz w:val="20"/>
          <w:szCs w:val="20"/>
        </w:rPr>
        <w:t xml:space="preserve">Here are the 5 raw transactions for this case, exactly as they appear in transactions.csv:</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1400"/>
        <w:gridCol w:w="21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Date / Time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Type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Amount (INR)</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Counterparty</w:t>
            </w:r>
          </w:p>
        </w:tc>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Velocity Score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2025-11-16 20:51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DEBIT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1,44,259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IN (domestic)</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0.061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2025-11-17 15:51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CREDIT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1,31,707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IN (domestic)</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0.191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2025-12-20 23:51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DEBIT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1,11,890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IN (domestic)</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0.177</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2026-01-01 22:51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DEBIT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1,37,672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IN (domestic)</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0.135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2026-02-02 00:51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CREDIT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1,18,951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IN (domestic)</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0.151</w:t>
            </w:r>
          </w:p>
        </w:tc>
      </w:tr>
    </w:tbl>
    <w:p>
      <w:pPr>
        <w:spacing w:after="160"/>
      </w:pPr>
      <w:r>
        <w:t xml:space="preserve"/>
      </w:r>
    </w:p>
    <w:p>
      <w:pPr>
        <w:spacing w:after="140"/>
      </w:pPr>
      <w:r>
        <w:rPr>
          <w:rFonts w:ascii="Arial" w:cs="Arial" w:eastAsia="Arial" w:hAnsi="Arial"/>
          <w:b w:val="false"/>
          <w:bCs w:val="false"/>
          <w:color w:val="333333"/>
          <w:sz w:val="20"/>
          <w:szCs w:val="20"/>
        </w:rPr>
        <w:t xml:space="preserve">And here is exactly how each aggregated column is computed from these 5 rows: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Column in agg. data</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Calculation on this case</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Result</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18"/>
                <w:szCs w:val="18"/>
              </w:rPr>
              <w:t xml:space="preserve">total_txn_amount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SUM(1,44,259 + 1,31,707 + 1,11,890 + 1,37,672 + 1,18,951)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6,44,479</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18"/>
                <w:szCs w:val="18"/>
              </w:rPr>
              <w:t xml:space="preserve">avg_txn_amount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6,44,479 / 5 transactions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1,28,896</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18"/>
                <w:szCs w:val="18"/>
              </w:rPr>
              <w:t xml:space="preserve">std_txn_amount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Standard deviation of [1,44,259; 1,31,707; 1,11,890; 1,37,672; 1,18,951]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13,314  (amounts are fairly consistent)</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18"/>
                <w:szCs w:val="18"/>
              </w:rPr>
              <w:t xml:space="preserve">txn_count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COUNT of rows for this case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5</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18"/>
                <w:szCs w:val="18"/>
              </w:rPr>
              <w:t xml:space="preserve">max_txn_amount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MAX of the 5 amounts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1,44,259</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18"/>
                <w:szCs w:val="18"/>
              </w:rPr>
              <w:t xml:space="preserve">min_txn_amount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MIN of the 5 amounts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1,11,890</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18"/>
                <w:szCs w:val="18"/>
              </w:rPr>
              <w:t xml:space="preserve">burst_score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COUNT(velocity_score &gt; 0.75) = 0 of 5 transactions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0 / 5 = 0.0000  (no burst activity)</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18"/>
                <w:szCs w:val="18"/>
              </w:rPr>
              <w:t xml:space="preserve">fund_exit_ratio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outbound = DEBIT rows: 1,44,259 + 1,11,890 + 1,37,672 = 3,93,821
inbound = CREDIT rows: 1,31,707 + 1,18,951 = 2,50,658
ratio = 3,93,821 / 2,50,658</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1.5711  (more exits than entries — but this case is non-SAR, normal account activity)</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18"/>
                <w:szCs w:val="18"/>
              </w:rPr>
              <w:t xml:space="preserve">time_to_first_outbound_minutes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First CREDIT: 2025-11-17 15:51
First DEBIT:  2025-11-16 20:51
Debit came BEFORE credit, so t2fo is negative — clipped to 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0 (debit preceded credit — account already had funds)</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18"/>
                <w:szCs w:val="18"/>
              </w:rPr>
              <w:t xml:space="preserve">alert_count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COUNT of rows in alerts.csv where case_id = CASE-2026-0001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0  (no rules triggered for this case)</w:t>
            </w:r>
          </w:p>
        </w:tc>
      </w:tr>
    </w:tbl>
    <w:p>
      <w:pPr>
        <w:spacing w:after="160"/>
      </w:pPr>
      <w:r>
        <w:t xml:space="preserve"/>
      </w:r>
    </w:p>
    <w:p>
      <w:pPr>
        <w:spacing w:after="120"/>
      </w:pPr>
      <w:r>
        <w:rPr>
          <w:rFonts w:ascii="Arial" w:cs="Arial" w:eastAsia="Arial" w:hAnsi="Arial"/>
          <w:color w:val="555555"/>
          <w:sz w:val="18"/>
          <w:szCs w:val="18"/>
        </w:rPr>
        <w:t xml:space="preserve">NOTE: This is a clean (non-SAR) case. fund_exit_ratio &gt; 1.0 because this account had pre-existing funds and spent them down — this is not automatically suspicious. The model learns that fund_exit_ratio alone is insufficient; it needs to be combined with burst_score, time_to_first_outbound, and kyc_risk_score to be meaningful.</w:t>
      </w:r>
    </w:p>
    <w:p>
      <w:pPr>
        <w:spacing w:after="160"/>
      </w:pPr>
      <w:r>
        <w:t xml:space="preserve"/>
      </w:r>
    </w:p>
    <w:p>
      <w:pPr>
        <w:pStyle w:val="Heading2"/>
      </w:pPr>
      <w:r>
        <w:rPr>
          <w:rFonts w:ascii="Arial" w:cs="Arial" w:eastAsia="Arial" w:hAnsi="Arial"/>
          <w:b/>
          <w:bCs/>
          <w:color w:val="2E75B6"/>
          <w:sz w:val="26"/>
          <w:szCs w:val="26"/>
        </w:rPr>
        <w:t xml:space="preserve">1.2  What Happens When a Case Has Very Few Transactions</w:t>
      </w:r>
    </w:p>
    <w:p>
      <w:pPr>
        <w:spacing w:after="140"/>
      </w:pPr>
      <w:r>
        <w:rPr>
          <w:rFonts w:ascii="Arial" w:cs="Arial" w:eastAsia="Arial" w:hAnsi="Arial"/>
          <w:b w:val="false"/>
          <w:bCs w:val="false"/>
          <w:color w:val="333333"/>
          <w:sz w:val="20"/>
          <w:szCs w:val="20"/>
        </w:rPr>
        <w:t xml:space="preserve">The minimum txn_count in the aggregated dataset is 3 (59 cases). There are no single-transaction cases. Here is how each edge situation is handled: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Situation</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What happens</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Handled how</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Case has only 1 transaction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std_txn_amount = undefined (std of 1 value)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Aggregation script fills NaN std with 0. Treated as zero variance — which is actually informative (perfectly uniform, no dispersion).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Case has only CREDIT transactions (no outbound)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fund_exit_ratio denominator = 0, time_to_first_outbound has no outbound date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Exit ratio set to 0 (no exits). t2fo set to 9999 minutes (sentinel value meaning no outbound observed). 986 cases in the dataset have t2fo=9999.</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Case has only DEBIT transactions (no inbound)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total_in = 0, fund_exit_ratio = infinity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total_in floored to 1e-6 (epsilon) before division, fund_exit_ratio clipped to max 1.5. Signals account spending down existing balance.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First outbound txn comes BEFORE first inbound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time_to_first_outbound_minutes is negative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Clipped to 0. This happens when account had prior balance and began sending money before receiving new funds.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Case with 3 transactions (minimum in dataset)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std_txn_amount computed on 3 values — less stable than with many txns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Still valid math. 59 cases in the aggregated data have txn_count = 3. Low txn count is itself a feature — sparse activity can be suspicious (shell company, test account).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All transactions to same counterparty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distinct_counterparties = 1, counterparty_diversity_score = 1 - (1/N) which is high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Wait — this is the opposite. Diversity = 1 - MAX(concentration). If all txns go to same party, concentration=1.0, diversity=0.0. Low diversity = not suspicious by itself but combined with other signals becomes relevant.</w:t>
            </w:r>
          </w:p>
        </w:tc>
      </w:tr>
    </w:tbl>
    <w:p>
      <w:pPr>
        <w:spacing w:after="160"/>
      </w:pPr>
      <w:r>
        <w:t xml:space="preserve"/>
      </w:r>
    </w:p>
    <w:p>
      <w:pPr>
        <w:pStyle w:val="Heading2"/>
      </w:pPr>
      <w:r>
        <w:rPr>
          <w:rFonts w:ascii="Arial" w:cs="Arial" w:eastAsia="Arial" w:hAnsi="Arial"/>
          <w:b/>
          <w:bCs/>
          <w:color w:val="2E75B6"/>
          <w:sz w:val="26"/>
          <w:szCs w:val="26"/>
        </w:rPr>
        <w:t xml:space="preserve">1.3  Why Aggregate at All — Why Not Train on Raw Transactions?</w:t>
      </w:r>
    </w:p>
    <w:p>
      <w:pPr>
        <w:spacing w:after="140"/>
      </w:pPr>
      <w:r>
        <w:rPr>
          <w:rFonts w:ascii="Arial" w:cs="Arial" w:eastAsia="Arial" w:hAnsi="Arial"/>
          <w:b w:val="false"/>
          <w:bCs w:val="false"/>
          <w:color w:val="333333"/>
          <w:sz w:val="20"/>
          <w:szCs w:val="20"/>
        </w:rPr>
        <w:t xml:space="preserve">The model needs to classify a case, not a transaction. A single transaction of 8 lakh tells you nothing on its own. But if you know that account made 12 transactions all between 8-9L over 3 weeks, all to different counterparties, from an account opened 45 days ago — that is structuring. The pattern only emerges at the case level.</w:t>
      </w:r>
    </w:p>
    <w:p>
      <w:pPr>
        <w:spacing w:after="80"/>
      </w:pPr>
      <w:r>
        <w:t xml:space="preserve"/>
      </w:r>
    </w:p>
    <w:p>
      <w:pPr>
        <w:spacing w:after="140"/>
      </w:pPr>
      <w:r>
        <w:rPr>
          <w:rFonts w:ascii="Arial" w:cs="Arial" w:eastAsia="Arial" w:hAnsi="Arial"/>
          <w:b w:val="false"/>
          <w:bCs w:val="false"/>
          <w:color w:val="333333"/>
          <w:sz w:val="20"/>
          <w:szCs w:val="20"/>
        </w:rPr>
        <w:t xml:space="preserve">Additionally, the label (sar_worthy, typology_*) is assigned per case by human investigators. There is no per-transaction label. Aggregation is the only way to align the unit of the label with the unit of the data.</w:t>
      </w:r>
    </w:p>
    <w:p>
      <w:pPr>
        <w:spacing w:after="160"/>
      </w:pPr>
      <w:r>
        <w:t xml:space="preserve"/>
      </w:r>
    </w:p>
    <w:p>
      <w:r>
        <w:br w:type="page"/>
      </w:r>
    </w:p>
    <w:p>
      <w:pPr>
        <w:pStyle w:val="Heading1"/>
      </w:pPr>
      <w:r>
        <w:rPr>
          <w:rFonts w:ascii="Arial" w:cs="Arial" w:eastAsia="Arial" w:hAnsi="Arial"/>
          <w:b/>
          <w:bCs/>
          <w:color w:val="1F4E79"/>
          <w:sz w:val="32"/>
          <w:szCs w:val="32"/>
        </w:rPr>
        <w:t xml:space="preserve">2.  The Six SAR Typologies — What They Are and How They Look in Data</w:t>
      </w:r>
    </w:p>
    <w:p>
      <w:pPr>
        <w:spacing w:after="140"/>
      </w:pPr>
      <w:r>
        <w:rPr>
          <w:rFonts w:ascii="Arial" w:cs="Arial" w:eastAsia="Arial" w:hAnsi="Arial"/>
          <w:b w:val="false"/>
          <w:bCs w:val="false"/>
          <w:color w:val="333333"/>
          <w:sz w:val="20"/>
          <w:szCs w:val="20"/>
        </w:rPr>
        <w:t xml:space="preserve">A SAR (Suspicious Activity Report) is a report filed by a bank with the Financial Intelligence Unit of India (FIU-IND) under the Prevention of Money Laundering Act (PMLA). Filing a SAR is legally mandatory when the bank suspects a transaction involves proceeds of crime, regardless of the amount.</w:t>
      </w:r>
    </w:p>
    <w:p>
      <w:pPr>
        <w:spacing w:after="80"/>
      </w:pPr>
      <w:r>
        <w:t xml:space="preserve"/>
      </w:r>
    </w:p>
    <w:p>
      <w:pPr>
        <w:spacing w:after="140"/>
      </w:pPr>
      <w:r>
        <w:rPr>
          <w:rFonts w:ascii="Arial" w:cs="Arial" w:eastAsia="Arial" w:hAnsi="Arial"/>
          <w:b w:val="false"/>
          <w:bCs w:val="false"/>
          <w:color w:val="333333"/>
          <w:sz w:val="20"/>
          <w:szCs w:val="20"/>
        </w:rPr>
        <w:t xml:space="preserve">The model must not just say SAR yes/no — it must identify which typology is present. This is because each typology triggers a different investigation pathway and requires different evidence to be documented in the report. The six typologies covered: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Typology</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What is happening in the real world</w:t>
            </w:r>
          </w:p>
        </w:tc>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What the data looks like (feature signatures)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3864"/>
                <w:sz w:val="18"/>
                <w:szCs w:val="18"/>
              </w:rPr>
              <w:t xml:space="preserve">Structuring (Smurfing)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Criminal intentionally breaks up a large sum into many smaller transactions, each just below the INR 10 Lakh reporting threshold mandated by the Prevention of Money Laundering Act (PMLA). A drug dealer with 50L to clean will make 6 deposits of 8-9L instead of one 50L deposit, because each individual deposit is below the Cash Transaction Report (CTR) threshold.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High txn_count, low std_txn_amount (very consistent sizing), avg_txn_amount just below threshold, low burst_score (transactions spread over days/weeks deliberately slowly), structuring_score near 1.0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3864"/>
                <w:sz w:val="18"/>
                <w:szCs w:val="18"/>
              </w:rPr>
              <w:t xml:space="preserve">Rapid Movement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Funds arrive in an account and leave within hours — sometimes minutes. The account is used purely as a transit point. This is the layering stage of AML: moving money through multiple accounts quickly to obscure the origin. Common in hawala networks and online gambling proceeds.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fund_exit_ratio &gt; 0.85, time_to_first_outbound_minutes &lt; 150, high burst_score (exits happen in a burst), account_age_days often very low (new account created just for this 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3864"/>
                <w:sz w:val="18"/>
                <w:szCs w:val="18"/>
              </w:rPr>
              <w:t xml:space="preserve">Funnel Account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Many people send small amounts into one account which then sends it all to one or two final destinations. Used in romance scams, investment fraud, and drug networks — victims each send money to the funnel, which aggregates it and wires it to the criminal. The funnel account holder often does not know they are participating.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incoming_sources_count very high (30-49 distinct senders), distinct_counterparties low on outbound side, fund_exit_ratio moderate (0.5-0.8), counterparty_diversity_score low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3864"/>
                <w:sz w:val="18"/>
                <w:szCs w:val="18"/>
              </w:rPr>
              <w:t xml:space="preserve">Trade-Based Money Laundering (TBML)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Money is moved through fake or over/under-invoiced trade transactions. A criminal invoices for goods never delivered, or inflates the value of exported goods, using the trade transaction to legitimise the funds. The giveaway is round numbers (real trade invoices are rarely exactly 10,00,000 INR) and counterparties in FATF grey/black-listed countries.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round_number_ratio high, counterparty_country in FATF list, high_risk_country_flag = 1, amounts in round multiples (5L, 10L, 25L), often large single transactions, kyc_risk_score elevated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3864"/>
                <w:sz w:val="18"/>
                <w:szCs w:val="18"/>
              </w:rPr>
              <w:t xml:space="preserve">Shell Company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 corporate entity that exists on paper but has no real business activity. Used to receive and send large amounts while disguising the beneficial owner. Shell companies often have very high transaction volumes but interact with only a small number of counterparties (all controlled by the same criminal network).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customer_type = corporate, counterparty_diversity_score very low (few counterparties despite high volume), total_txn_amount very high, incoming_sources_count low, high_risk_country_flag often = 1, pep_flag may be set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3864"/>
                <w:sz w:val="18"/>
                <w:szCs w:val="18"/>
              </w:rPr>
              <w:t xml:space="preserve">Round Tripping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Money leaves an account and returns to the same (or closely related) account via a different route. The purpose is to make illegitimate funds appear to be legitimate foreign investment or business income. Common in India where round-tripping from offshore tax havens (Mauritius, Cayman) was widely used to avoid capital gains tax and launder funds.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outbound amounts closely matching subsequent inbound amounts, different counterparties for exit vs return, time_delta between exit and re-entry &lt; 72 hours, fund_exit_ratio close to 1.0, often involves international_counterparty_flag = 1</w:t>
            </w:r>
          </w:p>
        </w:tc>
      </w:tr>
    </w:tbl>
    <w:p>
      <w:pPr>
        <w:spacing w:after="160"/>
      </w:pPr>
      <w:r>
        <w:t xml:space="preserve"/>
      </w:r>
    </w:p>
    <w:p>
      <w:pPr>
        <w:pStyle w:val="Heading2"/>
      </w:pPr>
      <w:r>
        <w:rPr>
          <w:rFonts w:ascii="Arial" w:cs="Arial" w:eastAsia="Arial" w:hAnsi="Arial"/>
          <w:b/>
          <w:bCs/>
          <w:color w:val="2E75B6"/>
          <w:sz w:val="26"/>
          <w:szCs w:val="26"/>
        </w:rPr>
        <w:t xml:space="preserve">2.1  Why These Six Specifically</w:t>
      </w:r>
    </w:p>
    <w:p>
      <w:pPr>
        <w:pStyle w:val="ListParagraph"/>
        <w:numPr>
          <w:ilvl w:val="0"/>
          <w:numId w:val="2"/>
        </w:numPr>
        <w:spacing w:after="80"/>
      </w:pPr>
      <w:r>
        <w:rPr>
          <w:rFonts w:ascii="Arial" w:cs="Arial" w:eastAsia="Arial" w:hAnsi="Arial"/>
          <w:color w:val="333333"/>
          <w:sz w:val="20"/>
          <w:szCs w:val="20"/>
        </w:rPr>
        <w:t xml:space="preserve">Structuring and Rapid Movement are the two most common typologies in Indian banking (PMLA Annual Report 2022-23, FIU-IND)</w:t>
      </w:r>
    </w:p>
    <w:p>
      <w:pPr>
        <w:pStyle w:val="ListParagraph"/>
        <w:numPr>
          <w:ilvl w:val="0"/>
          <w:numId w:val="2"/>
        </w:numPr>
        <w:spacing w:after="80"/>
      </w:pPr>
      <w:r>
        <w:rPr>
          <w:rFonts w:ascii="Arial" w:cs="Arial" w:eastAsia="Arial" w:hAnsi="Arial"/>
          <w:color w:val="333333"/>
          <w:sz w:val="20"/>
          <w:szCs w:val="20"/>
        </w:rPr>
        <w:t xml:space="preserve">Funnel Account is the dominant typology in online fraud proceeds — UPI fraud, romance scams, pig butchering schemes</w:t>
      </w:r>
    </w:p>
    <w:p>
      <w:pPr>
        <w:pStyle w:val="ListParagraph"/>
        <w:numPr>
          <w:ilvl w:val="0"/>
          <w:numId w:val="2"/>
        </w:numPr>
        <w:spacing w:after="80"/>
      </w:pPr>
      <w:r>
        <w:rPr>
          <w:rFonts w:ascii="Arial" w:cs="Arial" w:eastAsia="Arial" w:hAnsi="Arial"/>
          <w:color w:val="333333"/>
          <w:sz w:val="20"/>
          <w:szCs w:val="20"/>
        </w:rPr>
        <w:t xml:space="preserve">Trade-Based ML (TBML) is prioritised by FATF as one of the three primary ML methods globally alongside cash placement and virtual assets</w:t>
      </w:r>
    </w:p>
    <w:p>
      <w:pPr>
        <w:pStyle w:val="ListParagraph"/>
        <w:numPr>
          <w:ilvl w:val="0"/>
          <w:numId w:val="2"/>
        </w:numPr>
        <w:spacing w:after="80"/>
      </w:pPr>
      <w:r>
        <w:rPr>
          <w:rFonts w:ascii="Arial" w:cs="Arial" w:eastAsia="Arial" w:hAnsi="Arial"/>
          <w:color w:val="333333"/>
          <w:sz w:val="20"/>
          <w:szCs w:val="20"/>
        </w:rPr>
        <w:t xml:space="preserve">Shell Company patterns are required to be detected under SEBI and RBI beneficial ownership disclosure rules (2023 update)</w:t>
      </w:r>
    </w:p>
    <w:p>
      <w:pPr>
        <w:pStyle w:val="ListParagraph"/>
        <w:numPr>
          <w:ilvl w:val="0"/>
          <w:numId w:val="2"/>
        </w:numPr>
        <w:spacing w:after="80"/>
      </w:pPr>
      <w:r>
        <w:rPr>
          <w:rFonts w:ascii="Arial" w:cs="Arial" w:eastAsia="Arial" w:hAnsi="Arial"/>
          <w:color w:val="333333"/>
          <w:sz w:val="20"/>
          <w:szCs w:val="20"/>
        </w:rPr>
        <w:t xml:space="preserve">Round Tripping was specifically called out in the 2023 PMLA amendment as a priority typology following the Adani short-seller report and subsequent FIU guidance</w:t>
      </w:r>
    </w:p>
    <w:p>
      <w:pPr>
        <w:spacing w:after="160"/>
      </w:pPr>
      <w:r>
        <w:t xml:space="preserve"/>
      </w:r>
    </w:p>
    <w:p>
      <w:pPr>
        <w:pStyle w:val="Heading2"/>
      </w:pPr>
      <w:r>
        <w:rPr>
          <w:rFonts w:ascii="Arial" w:cs="Arial" w:eastAsia="Arial" w:hAnsi="Arial"/>
          <w:b/>
          <w:bCs/>
          <w:color w:val="2E75B6"/>
          <w:sz w:val="26"/>
          <w:szCs w:val="26"/>
        </w:rPr>
        <w:t xml:space="preserve">2.2  How the Typology Labels Were Assigned in This Dataset</w:t>
      </w:r>
    </w:p>
    <w:p>
      <w:pPr>
        <w:spacing w:after="140"/>
      </w:pPr>
      <w:r>
        <w:rPr>
          <w:rFonts w:ascii="Arial" w:cs="Arial" w:eastAsia="Arial" w:hAnsi="Arial"/>
          <w:b w:val="false"/>
          <w:bCs w:val="false"/>
          <w:color w:val="333333"/>
          <w:sz w:val="20"/>
          <w:szCs w:val="20"/>
        </w:rPr>
        <w:t xml:space="preserve">Each typology flag was assigned by a rule-based labelling function in the aggregation script, not by a human. The rules use the same features that ended up in the model. This is acceptable for a synthetic dataset — in production, labels come from human investigator decisions.</w:t>
      </w:r>
    </w:p>
    <w:p>
      <w:pPr>
        <w:spacing w:after="80"/>
      </w:pPr>
      <w:r>
        <w:t xml:space="preserve"/>
      </w:r>
    </w:p>
    <w:p>
      <w:pPr>
        <w:spacing w:after="140"/>
      </w:pPr>
      <w:r>
        <w:rPr>
          <w:rFonts w:ascii="Arial" w:cs="Arial" w:eastAsia="Arial" w:hAnsi="Arial"/>
          <w:b/>
          <w:bCs/>
          <w:color w:val="333333"/>
          <w:sz w:val="20"/>
          <w:szCs w:val="20"/>
        </w:rPr>
        <w:t xml:space="preserve">Structuring rule:</w:t>
      </w:r>
    </w:p>
    <w:p>
      <w:pPr>
        <w:spacing w:after="100"/>
      </w:pPr>
      <w:r>
        <w:rPr>
          <w:rFonts w:ascii="Courier New" w:cs="Courier New" w:eastAsia="Courier New" w:hAnsi="Courier New"/>
          <w:color w:val="C0392B"/>
          <w:sz w:val="18"/>
          <w:szCs w:val="18"/>
        </w:rPr>
        <w:t xml:space="preserve">structuring_score &gt; 0.80  AND  avg_txn_amount between 880,000 and 995,000  AND  std_txn_amount &lt; 15,000</w:t>
      </w:r>
    </w:p>
    <w:p>
      <w:pPr>
        <w:spacing w:after="140"/>
      </w:pPr>
      <w:r>
        <w:rPr>
          <w:rFonts w:ascii="Arial" w:cs="Arial" w:eastAsia="Arial" w:hAnsi="Arial"/>
          <w:b/>
          <w:bCs/>
          <w:color w:val="333333"/>
          <w:sz w:val="20"/>
          <w:szCs w:val="20"/>
        </w:rPr>
        <w:t xml:space="preserve">Rapid movement rule:</w:t>
      </w:r>
    </w:p>
    <w:p>
      <w:pPr>
        <w:spacing w:after="100"/>
      </w:pPr>
      <w:r>
        <w:rPr>
          <w:rFonts w:ascii="Courier New" w:cs="Courier New" w:eastAsia="Courier New" w:hAnsi="Courier New"/>
          <w:color w:val="C0392B"/>
          <w:sz w:val="18"/>
          <w:szCs w:val="18"/>
        </w:rPr>
        <w:t xml:space="preserve">fund_exit_ratio &gt; 0.85  AND  burst_score &gt; 0.75  AND  time_to_first_outbound_minutes &lt; 150</w:t>
      </w:r>
    </w:p>
    <w:p>
      <w:pPr>
        <w:spacing w:after="140"/>
      </w:pPr>
      <w:r>
        <w:rPr>
          <w:rFonts w:ascii="Arial" w:cs="Arial" w:eastAsia="Arial" w:hAnsi="Arial"/>
          <w:b/>
          <w:bCs/>
          <w:color w:val="333333"/>
          <w:sz w:val="20"/>
          <w:szCs w:val="20"/>
        </w:rPr>
        <w:t xml:space="preserve">Funnel account rule:</w:t>
      </w:r>
    </w:p>
    <w:p>
      <w:pPr>
        <w:spacing w:after="100"/>
      </w:pPr>
      <w:r>
        <w:rPr>
          <w:rFonts w:ascii="Courier New" w:cs="Courier New" w:eastAsia="Courier New" w:hAnsi="Courier New"/>
          <w:color w:val="C0392B"/>
          <w:sz w:val="18"/>
          <w:szCs w:val="18"/>
        </w:rPr>
        <w:t xml:space="preserve">incoming_sources_count &gt;= 10  AND  distinct_outbound_counterparties &lt;= 3</w:t>
      </w:r>
    </w:p>
    <w:p>
      <w:pPr>
        <w:spacing w:after="140"/>
      </w:pPr>
      <w:r>
        <w:rPr>
          <w:rFonts w:ascii="Arial" w:cs="Arial" w:eastAsia="Arial" w:hAnsi="Arial"/>
          <w:b/>
          <w:bCs/>
          <w:color w:val="333333"/>
          <w:sz w:val="20"/>
          <w:szCs w:val="20"/>
        </w:rPr>
        <w:t xml:space="preserve">TBML rule:</w:t>
      </w:r>
    </w:p>
    <w:p>
      <w:pPr>
        <w:spacing w:after="100"/>
      </w:pPr>
      <w:r>
        <w:rPr>
          <w:rFonts w:ascii="Courier New" w:cs="Courier New" w:eastAsia="Courier New" w:hAnsi="Courier New"/>
          <w:color w:val="C0392B"/>
          <w:sz w:val="18"/>
          <w:szCs w:val="18"/>
        </w:rPr>
        <w:t xml:space="preserve">round_number_ratio &gt; 0.55  AND  high_risk_country_flag = 1</w:t>
      </w:r>
    </w:p>
    <w:p>
      <w:pPr>
        <w:spacing w:after="140"/>
      </w:pPr>
      <w:r>
        <w:rPr>
          <w:rFonts w:ascii="Arial" w:cs="Arial" w:eastAsia="Arial" w:hAnsi="Arial"/>
          <w:b/>
          <w:bCs/>
          <w:color w:val="333333"/>
          <w:sz w:val="20"/>
          <w:szCs w:val="20"/>
        </w:rPr>
        <w:t xml:space="preserve">Shell company rule:</w:t>
      </w:r>
    </w:p>
    <w:p>
      <w:pPr>
        <w:spacing w:after="100"/>
      </w:pPr>
      <w:r>
        <w:rPr>
          <w:rFonts w:ascii="Courier New" w:cs="Courier New" w:eastAsia="Courier New" w:hAnsi="Courier New"/>
          <w:color w:val="C0392B"/>
          <w:sz w:val="18"/>
          <w:szCs w:val="18"/>
        </w:rPr>
        <w:t xml:space="preserve">customer_type = 'corporate'  AND  counterparty_diversity_score &lt; 0.20  AND  total_txn_amount &gt; 1,000,000</w:t>
      </w:r>
    </w:p>
    <w:p>
      <w:pPr>
        <w:spacing w:after="140"/>
      </w:pPr>
      <w:r>
        <w:rPr>
          <w:rFonts w:ascii="Arial" w:cs="Arial" w:eastAsia="Arial" w:hAnsi="Arial"/>
          <w:b/>
          <w:bCs/>
          <w:color w:val="333333"/>
          <w:sz w:val="20"/>
          <w:szCs w:val="20"/>
        </w:rPr>
        <w:t xml:space="preserve">Round tripping rule:</w:t>
      </w:r>
    </w:p>
    <w:p>
      <w:pPr>
        <w:spacing w:after="100"/>
      </w:pPr>
      <w:r>
        <w:rPr>
          <w:rFonts w:ascii="Courier New" w:cs="Courier New" w:eastAsia="Courier New" w:hAnsi="Courier New"/>
          <w:color w:val="C0392B"/>
          <w:sz w:val="18"/>
          <w:szCs w:val="18"/>
        </w:rPr>
        <w:t xml:space="preserve">MATCH(outbound.amount approx= inbound.amount, different counterparty, time_delta &lt; 72 hours)</w:t>
      </w:r>
    </w:p>
    <w:p>
      <w:pPr>
        <w:spacing w:after="160"/>
      </w:pPr>
      <w:r>
        <w:t xml:space="preserve"/>
      </w:r>
    </w:p>
    <w:p>
      <w:r>
        <w:br w:type="page"/>
      </w:r>
    </w:p>
    <w:p>
      <w:pPr>
        <w:pStyle w:val="Heading1"/>
      </w:pPr>
      <w:r>
        <w:rPr>
          <w:rFonts w:ascii="Arial" w:cs="Arial" w:eastAsia="Arial" w:hAnsi="Arial"/>
          <w:b/>
          <w:bCs/>
          <w:color w:val="1F4E79"/>
          <w:sz w:val="32"/>
          <w:szCs w:val="32"/>
        </w:rPr>
        <w:t xml:space="preserve">3.  Every Threshold — Where It Comes From and Why That Number</w:t>
      </w:r>
    </w:p>
    <w:p>
      <w:pPr>
        <w:spacing w:after="140"/>
      </w:pPr>
      <w:r>
        <w:rPr>
          <w:rFonts w:ascii="Arial" w:cs="Arial" w:eastAsia="Arial" w:hAnsi="Arial"/>
          <w:b w:val="false"/>
          <w:bCs w:val="false"/>
          <w:color w:val="333333"/>
          <w:sz w:val="20"/>
          <w:szCs w:val="20"/>
        </w:rPr>
        <w:t xml:space="preserve">Every numeric threshold in the pipeline has a reason. None were chosen arbitrarily. Sources are: regulatory documents (PMLA, RBI, FATF), industry AML benchmarks, and data-driven decisions from inspecting the actual distributions.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000"/>
        <w:gridCol w:w="39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Threshold</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Value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Source / Authority</w:t>
            </w:r>
          </w:p>
        </w:tc>
        <w:tc>
          <w:tcPr>
            <w:tcW w:type="dxa" w:w="3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Why exactly this number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3864"/>
                <w:sz w:val="18"/>
                <w:szCs w:val="18"/>
              </w:rPr>
              <w:t xml:space="preserve">velocity_score &gt; 0.75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0.75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Upper quartile (75th percentile)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The velocity_score is pre-computed by the transaction monitoring system. Values above 0.75 represent the top 25% of transaction speeds in the dataset. This is a standard anomaly detection convention — anything above the 3rd quartile is treated as an outlier. In this dataset, 37.2% of individual transactions are above 0.75.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3864"/>
                <w:sz w:val="18"/>
                <w:szCs w:val="18"/>
              </w:rPr>
              <w:t xml:space="preserve">Structuring threshold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10,00,000 INR (10 Lakh)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PMLA / RBI Cash Transaction Report rules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Banks must file a CTR for any cash transaction &gt;= 10L. Structuring means deliberately staying below this. The aggregation script flags cases where avg_txn_amount is between 8L-9.99L as a structuring signature — close enough to the threshold to be deliberate, not coincidental.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3864"/>
                <w:sz w:val="18"/>
                <w:szCs w:val="18"/>
              </w:rPr>
              <w:t xml:space="preserve">FATF Black list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IR (Iran), KP (N Korea), MM (Myanmar), YE (Yemen)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FATF Public Statement (updated quarterly)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Complete prohibition list — any transaction with these jurisdictions is automatically high risk. Banks are required to apply enhanced due diligence or reject transactions with these countries.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3864"/>
                <w:sz w:val="18"/>
                <w:szCs w:val="18"/>
              </w:rPr>
              <w:t xml:space="preserve">FATF Grey list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AE, PK, NG, VN, ET, SD, SY (7 countries)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FATF Jurisdictions Under Increased Monitoring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Countries with strategic AML/CFT deficiencies under active remediation. Transactions are allowed but require enhanced scrutiny. Risk scores: PK/NG = 0.70, ET = 0.65, AE = 0.45.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3864"/>
                <w:sz w:val="18"/>
                <w:szCs w:val="18"/>
              </w:rPr>
              <w:t xml:space="preserve">fund_exit_ratio cap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Clipped at 1.5 max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Data engineering decision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If a case has no inbound transactions (denominator = 0), the ratio becomes infinite. The 1.5 cap handles this gracefully. In practice, any value above 1.0 is already a strong signal (more money out than came in — account was spending pre-existing balance).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3864"/>
                <w:sz w:val="18"/>
                <w:szCs w:val="18"/>
              </w:rPr>
              <w:t xml:space="preserve">t2fo sentinel value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9,999 minutes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Data engineering decision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Cases with no outbound transactions have no measurable time-to-first-outbound. 9,999 (~7 days) is used as a sentinel meaning no exit observed. This is intentionally high so the model treats it as low urgency — a case where money arrives but never leaves is not a layering case.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3864"/>
                <w:sz w:val="18"/>
                <w:szCs w:val="18"/>
              </w:rPr>
              <w:t xml:space="preserve">kyc_risk_score High tier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&gt; 0.70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PMLA / RBI Enhanced Due Diligence guidelines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PMLA requires Enhanced Due Diligence (EDD) for customers classified as high risk. The 0.70 threshold maps to this regulatory boundary. Above 0.70, a bank must conduct additional verification, obtain senior management approval for the relationship, and monitor more frequently.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3864"/>
                <w:sz w:val="18"/>
                <w:szCs w:val="18"/>
              </w:rPr>
              <w:t xml:space="preserve">account_age new tier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&lt; 90 days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RBI KYC Master Direction 2016 (updated 2023)</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RBI mandates that banks apply enhanced transaction monitoring for the first 90 days after account opening. This is when the account is most vulnerable to misuse — the customer relationship is new and baseline behaviour has not been established.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3864"/>
                <w:sz w:val="18"/>
                <w:szCs w:val="18"/>
              </w:rPr>
              <w:t xml:space="preserve">alert_count critical tier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&gt; 10 alerts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Industry benchmark (Wolters Kluwer, NICE Actimize)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In standard AML systems, an account generating more than 10 alerts in a year is flagged for case escalation to the Financial Crime Investigation Unit. This is approximately 1 alert per month, which exceeds what a normal account would trigger under standard rule tuning.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3864"/>
                <w:sz w:val="18"/>
                <w:szCs w:val="18"/>
              </w:rPr>
              <w:t xml:space="preserve">fund_exit transit tier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&gt; 0.95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AML domain convention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At 0.95+, the account retains less than 5% of everything that flows through it. This is operationally indistinguishable from a transit account — money arrives, is immediately redistributed, and essentially nothing remains. This pattern has no legitimate banking explanation for a retail or SME account.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3864"/>
                <w:sz w:val="18"/>
                <w:szCs w:val="18"/>
              </w:rPr>
              <w:t xml:space="preserve">burst_score extreme tier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&gt; 0.90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Dataset-derived (top decile)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In this dataset, burst_score above 0.90 means more than 90% of the case's transactions have velocity_score &gt; 0.75. This means almost every transaction in the case is anomalously fast. This is the signature of automated or programmatic transactions — not human-initiated banking.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3864"/>
                <w:sz w:val="18"/>
                <w:szCs w:val="18"/>
              </w:rPr>
              <w:t xml:space="preserve">SMOTE target: minority to 3,000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SAR rate 0.76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Practical ML convention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 SAR rate between 0.65-0.80 is workable for binary classification. Going lower (e.g. 50/50) would require generating 9,000 synthetic rows from only 500 real ones — the synthetic data would be too speculative. 3,000 from 500 means each synthetic case interpolates from a neighbourhood of real cases, keeping the data grounded.</w:t>
            </w:r>
          </w:p>
        </w:tc>
      </w:tr>
    </w:tbl>
    <w:p>
      <w:pPr>
        <w:spacing w:after="160"/>
      </w:pPr>
      <w:r>
        <w:t xml:space="preserve"/>
      </w:r>
    </w:p>
    <w:p>
      <w:r>
        <w:br w:type="page"/>
      </w:r>
    </w:p>
    <w:p>
      <w:pPr>
        <w:pStyle w:val="Heading1"/>
      </w:pPr>
      <w:r>
        <w:rPr>
          <w:rFonts w:ascii="Arial" w:cs="Arial" w:eastAsia="Arial" w:hAnsi="Arial"/>
          <w:b/>
          <w:bCs/>
          <w:color w:val="1F4E79"/>
          <w:sz w:val="32"/>
          <w:szCs w:val="32"/>
        </w:rPr>
        <w:t xml:space="preserve">4.  The Composite Score Weights — How 0.45, 0.40, 0.15 Were Derived</w:t>
      </w:r>
    </w:p>
    <w:p>
      <w:pPr>
        <w:spacing w:after="140"/>
      </w:pPr>
      <w:r>
        <w:rPr>
          <w:rFonts w:ascii="Arial" w:cs="Arial" w:eastAsia="Arial" w:hAnsi="Arial"/>
          <w:b w:val="false"/>
          <w:bCs w:val="false"/>
          <w:color w:val="333333"/>
          <w:sz w:val="20"/>
          <w:szCs w:val="20"/>
        </w:rPr>
        <w:t xml:space="preserve">The three composite scores (behavioral_risk_score, network_risk_score, overall_suspicion_score) use weighted sums. The weights are NOT arbitrary. They were derived mathematically from the correlation of each input feature with sar_worthy, computed on the original aggregated dataset before any SMOTE or engineering.</w:t>
      </w:r>
    </w:p>
    <w:p>
      <w:pPr>
        <w:spacing w:after="80"/>
      </w:pPr>
      <w:r>
        <w:t xml:space="preserve"/>
      </w:r>
    </w:p>
    <w:p>
      <w:pPr>
        <w:pStyle w:val="Heading2"/>
      </w:pPr>
      <w:r>
        <w:rPr>
          <w:rFonts w:ascii="Arial" w:cs="Arial" w:eastAsia="Arial" w:hAnsi="Arial"/>
          <w:b/>
          <w:bCs/>
          <w:color w:val="2E75B6"/>
          <w:sz w:val="26"/>
          <w:szCs w:val="26"/>
        </w:rPr>
        <w:t xml:space="preserve">4.1  The derivation method</w:t>
      </w:r>
    </w:p>
    <w:p>
      <w:pPr>
        <w:spacing w:after="140"/>
      </w:pPr>
      <w:r>
        <w:rPr>
          <w:rFonts w:ascii="Arial" w:cs="Arial" w:eastAsia="Arial" w:hAnsi="Arial"/>
          <w:b w:val="false"/>
          <w:bCs w:val="false"/>
          <w:color w:val="333333"/>
          <w:sz w:val="20"/>
          <w:szCs w:val="20"/>
        </w:rPr>
        <w:t xml:space="preserve">Step 1: Compute Pearson correlation of each candidate feature with sar_worthy on the raw 10,000 row dataset.</w:t>
      </w:r>
    </w:p>
    <w:p>
      <w:pPr>
        <w:spacing w:after="140"/>
      </w:pPr>
      <w:r>
        <w:rPr>
          <w:rFonts w:ascii="Arial" w:cs="Arial" w:eastAsia="Arial" w:hAnsi="Arial"/>
          <w:b w:val="false"/>
          <w:bCs w:val="false"/>
          <w:color w:val="333333"/>
          <w:sz w:val="20"/>
          <w:szCs w:val="20"/>
        </w:rPr>
        <w:t xml:space="preserve">Step 2: For each composite score, identify which features belong to it (e.g. behavioral_risk_score uses fund_exit_ratio, burst_score, txn_velocity).</w:t>
      </w:r>
    </w:p>
    <w:p>
      <w:pPr>
        <w:spacing w:after="140"/>
      </w:pPr>
      <w:r>
        <w:rPr>
          <w:rFonts w:ascii="Arial" w:cs="Arial" w:eastAsia="Arial" w:hAnsi="Arial"/>
          <w:b w:val="false"/>
          <w:bCs w:val="false"/>
          <w:color w:val="333333"/>
          <w:sz w:val="20"/>
          <w:szCs w:val="20"/>
        </w:rPr>
        <w:t xml:space="preserve">Step 3: Take each feature's correlation as its raw weight.</w:t>
      </w:r>
    </w:p>
    <w:p>
      <w:pPr>
        <w:spacing w:after="140"/>
      </w:pPr>
      <w:r>
        <w:rPr>
          <w:rFonts w:ascii="Arial" w:cs="Arial" w:eastAsia="Arial" w:hAnsi="Arial"/>
          <w:b w:val="false"/>
          <w:bCs w:val="false"/>
          <w:color w:val="333333"/>
          <w:sz w:val="20"/>
          <w:szCs w:val="20"/>
        </w:rPr>
        <w:t xml:space="preserve">Step 4: Normalise by dividing each by the sum of all three, so they add to 1.0.</w:t>
      </w:r>
    </w:p>
    <w:p>
      <w:pPr>
        <w:spacing w:after="140"/>
      </w:pPr>
      <w:r>
        <w:rPr>
          <w:rFonts w:ascii="Arial" w:cs="Arial" w:eastAsia="Arial" w:hAnsi="Arial"/>
          <w:b w:val="false"/>
          <w:bCs w:val="false"/>
          <w:color w:val="333333"/>
          <w:sz w:val="20"/>
          <w:szCs w:val="20"/>
        </w:rPr>
        <w:t xml:space="preserve">Step 5: Round to 2 decimal places while preserving the sum-to-1 constraint.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Composite Score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Feature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Correlation r with sar_worthy</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Weight derivation</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18"/>
                <w:szCs w:val="18"/>
              </w:rPr>
              <w:t xml:space="preserve">behavioral_risk_score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fund_exit_ratio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 = 0.654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Relative weight = 0.654 / (0.654 + 0.558 + 0.205) = 0.462 → rounded to 0.45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burst_score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 = 0.558</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Relative weight = 0.558 / 1.417 = 0.394 → rounded to 0.40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txn_velocity (normalised)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 = 0.205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Relative weight = 0.205 / 1.417 = 0.145 → rounded to 0.15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SUM of denominators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1.417</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All three weights sum to 1.00 (0.45 + 0.40 + 0.15)</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18"/>
                <w:szCs w:val="18"/>
              </w:rPr>
              <w:t xml:space="preserve">network_risk_score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counterparty_diversity_score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 = 0.415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Relative weight = 0.415 / (0.415 + 0.288 + 0.194) = 0.463 → rounded to 0.40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international_counterparty_flag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 = 0.288</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Relative weight = 0.288 / 0.897 = 0.321 → rounded to 0.35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high_risk_country_flag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 = 0.194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Relative weight = 0.194 / 0.897 = 0.216 → rounded to 0.25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SUM of denominators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0.897</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All three weights sum to 1.00 (0.40 + 0.35 + 0.25)</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18"/>
                <w:szCs w:val="18"/>
              </w:rPr>
              <w:t xml:space="preserve">overall_suspicion_score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behavioral_risk_score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 = 0.871*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Relative weight = 0.871 / 2.295 = 0.379 → rounded to 0.35. *This is the correlation of the already-computed composite, not the raw feature.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kyc_risk_score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 = 0.646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Relative weight = 0.646 / 2.295 = 0.281 → rounded to 0.30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network_risk_score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 = 0.415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Relative weight = 0.415 / 2.295 = 0.181 → rounded to 0.20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alert_density (normalised)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 = 0.364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Relative weight = 0.364 / 2.295 = 0.159 → rounded to 0.15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SUM of denominators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2.295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All four weights sum to 1.00 (0.35 + 0.30 + 0.20 + 0.15)</w:t>
            </w:r>
          </w:p>
        </w:tc>
      </w:tr>
    </w:tbl>
    <w:p>
      <w:pPr>
        <w:spacing w:after="80"/>
      </w:pPr>
      <w:r>
        <w:t xml:space="preserve"/>
      </w:r>
    </w:p>
    <w:p>
      <w:pPr>
        <w:pStyle w:val="Heading2"/>
      </w:pPr>
      <w:r>
        <w:rPr>
          <w:rFonts w:ascii="Arial" w:cs="Arial" w:eastAsia="Arial" w:hAnsi="Arial"/>
          <w:b/>
          <w:bCs/>
          <w:color w:val="2E75B6"/>
          <w:sz w:val="26"/>
          <w:szCs w:val="26"/>
        </w:rPr>
        <w:t xml:space="preserve">4.2  Why normalise by correlation rather than use equal weights?</w:t>
      </w:r>
    </w:p>
    <w:p>
      <w:pPr>
        <w:spacing w:after="140"/>
      </w:pPr>
      <w:r>
        <w:rPr>
          <w:rFonts w:ascii="Arial" w:cs="Arial" w:eastAsia="Arial" w:hAnsi="Arial"/>
          <w:b w:val="false"/>
          <w:bCs w:val="false"/>
          <w:color w:val="333333"/>
          <w:sz w:val="20"/>
          <w:szCs w:val="20"/>
        </w:rPr>
        <w:t xml:space="preserve">Equal weights (e.g. 0.33 each) assume all three features carry equal predictive power. They do not. fund_exit_ratio has correlation 0.654 with sar_worthy; txn_velocity has 0.205. Giving them equal weight would under-value fund_exit_ratio and over-value velocity. Correlation-derived weights are a principled, data-grounded alternative to equal weighting without requiring a full regression to estimate coefficients.</w:t>
      </w:r>
    </w:p>
    <w:p>
      <w:pPr>
        <w:spacing w:after="80"/>
      </w:pPr>
      <w:r>
        <w:t xml:space="preserve"/>
      </w:r>
    </w:p>
    <w:p>
      <w:pPr>
        <w:pStyle w:val="Heading2"/>
      </w:pPr>
      <w:r>
        <w:rPr>
          <w:rFonts w:ascii="Arial" w:cs="Arial" w:eastAsia="Arial" w:hAnsi="Arial"/>
          <w:b/>
          <w:bCs/>
          <w:color w:val="2E75B6"/>
          <w:sz w:val="26"/>
          <w:szCs w:val="26"/>
        </w:rPr>
        <w:t xml:space="preserve">4.3  The rounding decision</w:t>
      </w:r>
    </w:p>
    <w:p>
      <w:pPr>
        <w:spacing w:after="140"/>
      </w:pPr>
      <w:r>
        <w:rPr>
          <w:rFonts w:ascii="Arial" w:cs="Arial" w:eastAsia="Arial" w:hAnsi="Arial"/>
          <w:b w:val="false"/>
          <w:bCs w:val="false"/>
          <w:color w:val="333333"/>
          <w:sz w:val="20"/>
          <w:szCs w:val="20"/>
        </w:rPr>
        <w:t xml:space="preserve">Exact relative weights produce numbers like 0.4622, 0.3938, 0.1447. These are rounded to 0.45, 0.40, 0.15 for two reasons: interpretability (explainable to a compliance officer) and robustness (small weight differences do not materially change the composite score). The rounding error is &lt; 0.01 on any individual weight.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Exact relative weight (from correlation ratio)</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Rounded weight used in formula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fund_exit: 0.654 / 1.417 = 0.4622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0.45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burst: 0.558 / 1.417 = 0.3938</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0.40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velocity: 0.205 / 1.417 = 0.1447</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0.15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Sum of exact weights = 1.0007 (floating point)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Sum of rounded = 1.00 (exact)</w:t>
            </w:r>
          </w:p>
        </w:tc>
      </w:tr>
    </w:tbl>
    <w:p>
      <w:pPr>
        <w:spacing w:after="160"/>
      </w:pPr>
      <w:r>
        <w:t xml:space="preserve"/>
      </w:r>
    </w:p>
    <w:p>
      <w:r>
        <w:br w:type="page"/>
      </w:r>
    </w:p>
    <w:p>
      <w:pPr>
        <w:pStyle w:val="Heading1"/>
      </w:pPr>
      <w:r>
        <w:rPr>
          <w:rFonts w:ascii="Arial" w:cs="Arial" w:eastAsia="Arial" w:hAnsi="Arial"/>
          <w:b/>
          <w:bCs/>
          <w:color w:val="1F4E79"/>
          <w:sz w:val="32"/>
          <w:szCs w:val="32"/>
        </w:rPr>
        <w:t xml:space="preserve">5.  Tier Features — Exactly How They Are Calculated</w:t>
      </w:r>
    </w:p>
    <w:p>
      <w:pPr>
        <w:spacing w:after="140"/>
      </w:pPr>
      <w:r>
        <w:rPr>
          <w:rFonts w:ascii="Arial" w:cs="Arial" w:eastAsia="Arial" w:hAnsi="Arial"/>
          <w:b w:val="false"/>
          <w:bCs w:val="false"/>
          <w:color w:val="333333"/>
          <w:sz w:val="20"/>
          <w:szCs w:val="20"/>
        </w:rPr>
        <w:t xml:space="preserve">Six continuous features are converted into ordinal tiers using pd.cut(). This is a binning operation — each tier boundary cuts the continuous scale into a labelled bucket. Here is exactly what happens for each tier feature:</w:t>
      </w:r>
    </w:p>
    <w:p>
      <w:pPr>
        <w:spacing w:after="80"/>
      </w:pPr>
      <w:r>
        <w:t xml:space="preserve"/>
      </w:r>
    </w:p>
    <w:p>
      <w:pPr>
        <w:pStyle w:val="Heading2"/>
      </w:pPr>
      <w:r>
        <w:rPr>
          <w:rFonts w:ascii="Arial" w:cs="Arial" w:eastAsia="Arial" w:hAnsi="Arial"/>
          <w:b/>
          <w:bCs/>
          <w:color w:val="2E75B6"/>
          <w:sz w:val="26"/>
          <w:szCs w:val="26"/>
        </w:rPr>
        <w:t xml:space="preserve">5.1  The pd.cut() mechanism</w:t>
      </w:r>
    </w:p>
    <w:p>
      <w:pPr>
        <w:spacing w:after="140"/>
      </w:pPr>
      <w:r>
        <w:rPr>
          <w:rFonts w:ascii="Arial" w:cs="Arial" w:eastAsia="Arial" w:hAnsi="Arial"/>
          <w:b w:val="false"/>
          <w:bCs w:val="false"/>
          <w:color w:val="333333"/>
          <w:sz w:val="20"/>
          <w:szCs w:val="20"/>
        </w:rPr>
        <w:t xml:space="preserve">pd.cut(column, bins=[b0, b1, b2, b3], labels=[0, 1, 2]) creates three buckets:</w:t>
      </w:r>
    </w:p>
    <w:p>
      <w:pPr>
        <w:pStyle w:val="ListParagraph"/>
        <w:numPr>
          <w:ilvl w:val="0"/>
          <w:numId w:val="2"/>
        </w:numPr>
        <w:spacing w:after="80"/>
      </w:pPr>
      <w:r>
        <w:rPr>
          <w:rFonts w:ascii="Arial" w:cs="Arial" w:eastAsia="Arial" w:hAnsi="Arial"/>
          <w:color w:val="333333"/>
          <w:sz w:val="20"/>
          <w:szCs w:val="20"/>
        </w:rPr>
        <w:t xml:space="preserve">Tier 0: b0 &lt; value &lt;= b1</w:t>
      </w:r>
    </w:p>
    <w:p>
      <w:pPr>
        <w:pStyle w:val="ListParagraph"/>
        <w:numPr>
          <w:ilvl w:val="0"/>
          <w:numId w:val="2"/>
        </w:numPr>
        <w:spacing w:after="80"/>
      </w:pPr>
      <w:r>
        <w:rPr>
          <w:rFonts w:ascii="Arial" w:cs="Arial" w:eastAsia="Arial" w:hAnsi="Arial"/>
          <w:color w:val="333333"/>
          <w:sz w:val="20"/>
          <w:szCs w:val="20"/>
        </w:rPr>
        <w:t xml:space="preserve">Tier 1: b1 &lt; value &lt;= b2</w:t>
      </w:r>
    </w:p>
    <w:p>
      <w:pPr>
        <w:pStyle w:val="ListParagraph"/>
        <w:numPr>
          <w:ilvl w:val="0"/>
          <w:numId w:val="2"/>
        </w:numPr>
        <w:spacing w:after="80"/>
      </w:pPr>
      <w:r>
        <w:rPr>
          <w:rFonts w:ascii="Arial" w:cs="Arial" w:eastAsia="Arial" w:hAnsi="Arial"/>
          <w:color w:val="333333"/>
          <w:sz w:val="20"/>
          <w:szCs w:val="20"/>
        </w:rPr>
        <w:t xml:space="preserve">Tier 2: b2 &lt; value &lt;= b3</w:t>
      </w:r>
    </w:p>
    <w:p>
      <w:pPr>
        <w:spacing w:after="80"/>
      </w:pPr>
      <w:r>
        <w:t xml:space="preserve"/>
      </w:r>
    </w:p>
    <w:p>
      <w:pPr>
        <w:spacing w:after="140"/>
      </w:pPr>
      <w:r>
        <w:rPr>
          <w:rFonts w:ascii="Arial" w:cs="Arial" w:eastAsia="Arial" w:hAnsi="Arial"/>
          <w:b w:val="false"/>
          <w:bCs w:val="false"/>
          <w:color w:val="333333"/>
          <w:sz w:val="20"/>
          <w:szCs w:val="20"/>
        </w:rPr>
        <w:t xml:space="preserve">The result is an ordinal integer: 0, 1, 2, 3, or 4. These are NOT one-hot encoded. They are passed to XGBoost as a single integer column. XGBoost's tree splits will find the optimal cut point within these discrete values (e.g. a split at tier &gt;= 2 is equivalent to the combined KYC conditions of 0.4-0.7 and &gt; 0.7).</w:t>
      </w:r>
    </w:p>
    <w:p>
      <w:pPr>
        <w:spacing w:after="80"/>
      </w:pPr>
      <w:r>
        <w:t xml:space="preserve"/>
      </w:r>
    </w:p>
    <w:p>
      <w:pPr>
        <w:pStyle w:val="Heading2"/>
      </w:pPr>
      <w:r>
        <w:rPr>
          <w:rFonts w:ascii="Arial" w:cs="Arial" w:eastAsia="Arial" w:hAnsi="Arial"/>
          <w:b/>
          <w:bCs/>
          <w:color w:val="2E75B6"/>
          <w:sz w:val="26"/>
          <w:szCs w:val="26"/>
        </w:rPr>
        <w:t xml:space="preserve">5.2  All six tier features — boundaries and sources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00"/>
        <w:gridCol w:w="39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Feature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Tier</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Boundary</w:t>
            </w:r>
          </w:p>
        </w:tc>
        <w:tc>
          <w:tcPr>
            <w:tcW w:type="dxa" w:w="3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Source and logic</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18"/>
                <w:szCs w:val="18"/>
              </w:rPr>
              <w:t xml:space="preserve">account_age_tier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0 = new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&lt; 90 days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RBI KYC Master Direction 2016: banks must apply enhanced monitoring for the first 90 days post account opening. This is the regulatory minimum observation window.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 = young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90 – 365 days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First year. Account is still within initial KYC review period. Baseline transaction behaviour is still being established.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2 = established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365 – 730 days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 to 2 years. Normal expected behaviour is known; deviations from it are more meaningful.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3 = mature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&gt; 730 days (2+ years)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Mature account. High activity here is more surprising — the account had a long clean history before the suspicious behaviour.</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18"/>
                <w:szCs w:val="18"/>
              </w:rPr>
              <w:t xml:space="preserve">alert_tier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0 = none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0 alerts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No rules triggered. Clean baseline.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 = 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 – 2 alerts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Single breach could be a false positive. Standard rule tuning produces ~1-2 alerts per account per year in a clean portfolio.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2 = moderate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3 – 5 alerts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Pattern forming. Most banks automatically open a case review at 3+ alerts in a period. This tier maps to that threshold.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3 = 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6 – 10 alerts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Multiple distinct rules firing. Case escalation to analyst review is mandatory in most AML frameworks.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4 = critical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&gt; 10 alerts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Exceeds typical annual alert budget per account. Industry benchmark (Wolters Kluwer, NICE Actimize) flags this as requiring FCIU escalation.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18"/>
                <w:szCs w:val="18"/>
              </w:rPr>
              <w:t xml:space="preserve">velocity_tier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0 = 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&lt; 2 per month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Savings account range. Typical retail customer transacts 1-2 times monthly.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 = moderate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2 – 5 per month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Active current account. Small business or frequent payer.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2 = 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5 – 10 per month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Heavy-use business account. Legitimate for active traders or SMEs.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3 = very 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&gt; 10 per month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Suggests automated or programmatic transactions. Human-initiated banking rarely exceeds 10 transactions per month for a single account.</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18"/>
                <w:szCs w:val="18"/>
              </w:rPr>
              <w:t xml:space="preserve">kyc_risk_tier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0 = 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&lt; 0.40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Standard monitoring. No enhanced measures required.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 = 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0.40 – 0.70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Enhanced monitoring under PMLA Section 12A. More frequent transaction review, senior sign-off for relationship continuation.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2 = 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&gt; 0.70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Enhanced Due Diligence (EDD) mandatory under PMLA. Additional beneficial ownership verification, senior management approval, quarterly review.</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18"/>
                <w:szCs w:val="18"/>
              </w:rPr>
              <w:t xml:space="preserve">burst_tier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0 = 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&lt; 0.30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Fewer than 30% of transactions are anomalously fast. Occasional velocity spikes, not a pattern.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 = moderate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0.30 – 0.60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Elevated but not conclusive. Could reflect a legitimate business with periodic high-volume settlement days.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2 = 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0.60 – 0.90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Majority of transactions in this case are rapid. Clear behavioural pattern.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3 = extreme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&gt; 0.90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Near-total burst activity. Essentially all transactions in the case are high-velocity. Consistent with automated fund movement.</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18"/>
                <w:szCs w:val="18"/>
              </w:rPr>
              <w:t xml:space="preserve">fund_exit_tier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0 = 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&lt; 0.50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Account is accumulating funds. More money coming in than going out. Normal savings/investment behaviour.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 = moderate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0.50 – 0.80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Balanced inflow/outflow. Normal for an active business account — money in, expenses out.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2 = 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0.80 – 0.95</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Most money is leaving. Account acts more as a throughput vehicle than a store of value.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3 = transit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&gt; 0.95</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Pure pass-through. Less than 5% of funds are retained. No legitimate retail or SME banking explanation for this pattern.</w:t>
            </w:r>
          </w:p>
        </w:tc>
      </w:tr>
    </w:tbl>
    <w:p>
      <w:pPr>
        <w:spacing w:after="80"/>
      </w:pPr>
      <w:r>
        <w:t xml:space="preserve"/>
      </w:r>
    </w:p>
    <w:p>
      <w:pPr>
        <w:pStyle w:val="Heading2"/>
      </w:pPr>
      <w:r>
        <w:rPr>
          <w:rFonts w:ascii="Arial" w:cs="Arial" w:eastAsia="Arial" w:hAnsi="Arial"/>
          <w:b/>
          <w:bCs/>
          <w:color w:val="2E75B6"/>
          <w:sz w:val="26"/>
          <w:szCs w:val="26"/>
        </w:rPr>
        <w:t xml:space="preserve">5.3  Why bin at all — XGBoost already does this internally</w:t>
      </w:r>
    </w:p>
    <w:p>
      <w:pPr>
        <w:spacing w:after="140"/>
      </w:pPr>
      <w:r>
        <w:rPr>
          <w:rFonts w:ascii="Arial" w:cs="Arial" w:eastAsia="Arial" w:hAnsi="Arial"/>
          <w:b w:val="false"/>
          <w:bCs w:val="false"/>
          <w:color w:val="333333"/>
          <w:sz w:val="20"/>
          <w:szCs w:val="20"/>
        </w:rPr>
        <w:t xml:space="preserve">You are right that gradient boosted trees find their own split points. There are three reasons to pre-bin:</w:t>
      </w:r>
    </w:p>
    <w:p>
      <w:pPr>
        <w:spacing w:after="80"/>
      </w:pPr>
      <w:r>
        <w:t xml:space="preserve"/>
      </w:r>
    </w:p>
    <w:p>
      <w:pPr>
        <w:pStyle w:val="ListParagraph"/>
        <w:numPr>
          <w:ilvl w:val="0"/>
          <w:numId w:val="2"/>
        </w:numPr>
        <w:spacing w:after="80"/>
      </w:pPr>
      <w:r>
        <w:rPr>
          <w:rFonts w:ascii="Arial" w:cs="Arial" w:eastAsia="Arial" w:hAnsi="Arial"/>
          <w:color w:val="333333"/>
          <w:sz w:val="20"/>
          <w:szCs w:val="20"/>
        </w:rPr>
        <w:t xml:space="preserve">Regulatory interpretability: when explaining a model output to a compliance officer or regulator, saying the account is in KYC tier 2 (EDD required) is clearer than saying kyc_risk_score = 0.73. The tier features make the model's logic legible without opening the black box.</w:t>
      </w:r>
    </w:p>
    <w:p>
      <w:pPr>
        <w:pStyle w:val="ListParagraph"/>
        <w:numPr>
          <w:ilvl w:val="0"/>
          <w:numId w:val="2"/>
        </w:numPr>
        <w:spacing w:after="80"/>
      </w:pPr>
      <w:r>
        <w:rPr>
          <w:rFonts w:ascii="Arial" w:cs="Arial" w:eastAsia="Arial" w:hAnsi="Arial"/>
          <w:color w:val="333333"/>
          <w:sz w:val="20"/>
          <w:szCs w:val="20"/>
        </w:rPr>
        <w:t xml:space="preserve">Noise reduction: a continuous feature with many near-identical values (e.g. kyc_risk_score concentrated between 0.6-0.8) wastes tree splits on tiny differences. Binning compresses these to the same tier, letting the tree focus its splits on more meaningful boundaries.</w:t>
      </w:r>
    </w:p>
    <w:p>
      <w:pPr>
        <w:pStyle w:val="ListParagraph"/>
        <w:numPr>
          <w:ilvl w:val="0"/>
          <w:numId w:val="2"/>
        </w:numPr>
        <w:spacing w:after="80"/>
      </w:pPr>
      <w:r>
        <w:rPr>
          <w:rFonts w:ascii="Arial" w:cs="Arial" w:eastAsia="Arial" w:hAnsi="Arial"/>
          <w:color w:val="333333"/>
          <w:sz w:val="20"/>
          <w:szCs w:val="20"/>
        </w:rPr>
        <w:t xml:space="preserve">Encoding domain knowledge: the tier boundaries are not data-derived — they are regulatory thresholds. By pre-encoding them, we inject AML domain knowledge that the model might not discover from data alone, especially with only 12,500 training rows.</w:t>
      </w:r>
    </w:p>
    <w:p>
      <w:pPr>
        <w:spacing w:after="160"/>
      </w:pPr>
      <w:r>
        <w:t xml:space="preserve"/>
      </w:r>
    </w:p>
    <w:p>
      <w:pPr>
        <w:pStyle w:val="Heading1"/>
      </w:pPr>
      <w:r>
        <w:rPr>
          <w:rFonts w:ascii="Arial" w:cs="Arial" w:eastAsia="Arial" w:hAnsi="Arial"/>
          <w:b/>
          <w:bCs/>
          <w:color w:val="1F4E79"/>
          <w:sz w:val="32"/>
          <w:szCs w:val="32"/>
        </w:rPr>
        <w:t xml:space="preserve">6.  Summary: What the Model Actually Sees</w:t>
      </w:r>
    </w:p>
    <w:p>
      <w:pPr>
        <w:spacing w:after="140"/>
      </w:pPr>
      <w:r>
        <w:rPr>
          <w:rFonts w:ascii="Arial" w:cs="Arial" w:eastAsia="Arial" w:hAnsi="Arial"/>
          <w:b w:val="false"/>
          <w:bCs w:val="false"/>
          <w:color w:val="333333"/>
          <w:sz w:val="20"/>
          <w:szCs w:val="20"/>
        </w:rPr>
        <w:t xml:space="preserve">When the model trains, it receives 65 columns per row. Here is what those 65 columns represent in terms of information: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Count</w:t>
            </w:r>
          </w:p>
        </w:tc>
        <w:tc>
          <w:tcPr>
            <w:tcW w:type="dxa" w:w="8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What the columns represent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20</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Original aggregated features — the direct summary statistics of the case's transactions, customer KYC, and alert history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Log-transformed versions of the 11 most skewed original features — same information, better numerical distribution for tree splits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5</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Ratio features — normalised versions of counts and amounts that give them business context (e.g. alert_density = alerts per month, not raw count)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6</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Interaction terms — products of two features that capture joint risk the individual features cannot express alone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Speed/urgency scores — behavioural signals normalised by account age to avoid age-confounding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Composite risk scores — weighted aggregations encoding the model's prior knowledge of which signals matter most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6</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Tier features — pre-discretised risk buckets aligned to regulatory thresholds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4</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Flag aggregation features — accumulated binary risk counts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7</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Label columns — sar_worthy + 6 typology flags (not used as input, used as targets)</w:t>
            </w:r>
          </w:p>
        </w:tc>
      </w:tr>
    </w:tbl>
    <w:p>
      <w:pPr>
        <w:spacing w:after="80"/>
      </w:pPr>
      <w:r>
        <w:t xml:space="preserve"/>
      </w:r>
    </w:p>
    <w:p>
      <w:pPr>
        <w:spacing w:after="140"/>
      </w:pPr>
      <w:r>
        <w:rPr>
          <w:rFonts w:ascii="Arial" w:cs="Arial" w:eastAsia="Arial" w:hAnsi="Arial"/>
          <w:b w:val="false"/>
          <w:bCs w:val="false"/>
          <w:color w:val="555555"/>
          <w:sz w:val="20"/>
          <w:szCs w:val="20"/>
        </w:rPr>
        <w:t xml:space="preserve">The 31 non-label, non-original feature columns (groups B through G) do not add new data. They add new perspectives on the same data. The model can use whichever perspective produces the cleanest decision boundary for each label. Feature importance scores after training will reveal which representations the model actually prefers.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b/>
        <w:bCs/>
        <w:color w:val="1F4E79"/>
        <w:sz w:val="18"/>
        <w:szCs w:val="18"/>
      </w:rPr>
      <w:t xml:space="preserve">Agent 1 — Deep Dive: Aggregation, SAR Types, Thresholds, Weights, and Tiers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2026-03-15T05:51:30.675Z</dcterms:created>
  <dcterms:modified xsi:type="dcterms:W3CDTF">2026-03-15T05:51:30.675Z</dcterms:modified>
</cp:coreProperties>
</file>

<file path=docProps/custom.xml><?xml version="1.0" encoding="utf-8"?>
<Properties xmlns="http://schemas.openxmlformats.org/officeDocument/2006/custom-properties" xmlns:vt="http://schemas.openxmlformats.org/officeDocument/2006/docPropsVTypes"/>
</file>