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F4E79"/>
          <w:sz w:val="52"/>
          <w:szCs w:val="52"/>
        </w:rPr>
        <w:t xml:space="preserve">Honest Assessment</w:t>
      </w:r>
    </w:p>
    <w:p>
      <w:pPr>
        <w:spacing w:after="80"/>
        <w:jc w:val="center"/>
      </w:pPr>
      <w:r>
        <w:rPr>
          <w:rFonts w:ascii="Arial" w:cs="Arial" w:eastAsia="Arial" w:hAnsi="Arial"/>
          <w:color w:val="2E75B6"/>
          <w:sz w:val="24"/>
          <w:szCs w:val="24"/>
        </w:rPr>
        <w:t xml:space="preserve">ML formulation, alert role, case definition, data quality limitations, and verified references only</w:t>
      </w:r>
    </w:p>
    <w:p>
      <w:pPr>
        <w:spacing w:after="400"/>
        <w:jc w:val="center"/>
      </w:pPr>
      <w:r>
        <w:rPr>
          <w:rFonts w:ascii="Arial" w:cs="Arial" w:eastAsia="Arial" w:hAnsi="Arial"/>
          <w:color w:val="888888"/>
          <w:sz w:val="20"/>
          <w:szCs w:val="20"/>
        </w:rPr>
        <w:t xml:space="preserve">Team Baymax · Agent 1 · Barclays Hack-O-Hire</w:t>
      </w:r>
    </w:p>
    <w:p>
      <w:pPr>
        <w:pStyle w:val="Heading1"/>
      </w:pPr>
      <w:r>
        <w:rPr>
          <w:rFonts w:ascii="Arial" w:cs="Arial" w:eastAsia="Arial" w:hAnsi="Arial"/>
          <w:b/>
          <w:bCs/>
          <w:color w:val="1F4E79"/>
          <w:sz w:val="32"/>
          <w:szCs w:val="32"/>
        </w:rPr>
        <w:t xml:space="preserve">1.  Is This Supervised Learning? What Does the Model Actually Predict?</w:t>
      </w:r>
    </w:p>
    <w:p>
      <w:pPr>
        <w:spacing w:after="140"/>
      </w:pPr>
      <w:r>
        <w:rPr>
          <w:rFonts w:ascii="Arial" w:cs="Arial" w:eastAsia="Arial" w:hAnsi="Arial"/>
          <w:b w:val="false"/>
          <w:bCs w:val="false"/>
          <w:color w:val="333333"/>
          <w:sz w:val="20"/>
          <w:szCs w:val="20"/>
        </w:rPr>
        <w:t xml:space="preserve">Yes — this is supervised multi-label binary classification. Each of the 7 output columns (sar_worthy + 6 typology flags) is treated as a separate binary classification problem, and one XGBoost model is trained per label using MultiOutputClassifier.</w:t>
      </w:r>
    </w:p>
    <w:p>
      <w:pPr>
        <w:spacing w:after="80"/>
      </w:pPr>
      <w:r>
        <w:t xml:space="preserve"/>
      </w:r>
    </w:p>
    <w:p>
      <w:pPr>
        <w:spacing w:after="140"/>
      </w:pPr>
      <w:r>
        <w:rPr>
          <w:rFonts w:ascii="Arial" w:cs="Arial" w:eastAsia="Arial" w:hAnsi="Arial"/>
          <w:b w:val="false"/>
          <w:bCs w:val="false"/>
          <w:color w:val="333333"/>
          <w:sz w:val="20"/>
          <w:szCs w:val="20"/>
        </w:rPr>
        <w:t xml:space="preserve">The model does not generate alerts. Alerts are generated upstream by a rules-based Transaction Monitoring System. The model reads an already-alerted case and decides whether to escalate it to a SAR.</w:t>
      </w:r>
    </w:p>
    <w:p>
      <w:pPr>
        <w:spacing w:after="80"/>
      </w:pPr>
      <w:r>
        <w:t xml:space="preserve"/>
      </w:r>
    </w:p>
    <w:p>
      <w:pPr>
        <w:pStyle w:val="Heading2"/>
      </w:pPr>
      <w:r>
        <w:rPr>
          <w:rFonts w:ascii="Arial" w:cs="Arial" w:eastAsia="Arial" w:hAnsi="Arial"/>
          <w:b/>
          <w:bCs/>
          <w:color w:val="2E75B6"/>
          <w:sz w:val="26"/>
          <w:szCs w:val="26"/>
        </w:rPr>
        <w:t xml:space="preserve">1.1  The correct system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80"/>
        <w:gridCol w:w="488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Stage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System / Actor</w:t>
            </w:r>
          </w:p>
        </w:tc>
        <w:tc>
          <w:tcPr>
            <w:tcW w:type="dxa" w:w="4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Core Banking System (CBS)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Every transaction is recorded in real time across all accounts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Transaction Monitoring System (TMS) — e.g. NICE Actimize, Temenos Financial Crime, Oracle FCCM</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Rules fire automatically when transactions exceed thresholds: amount &gt; INR 10L, velocity spike, watchlist hit, peer deviation. Alerts are created per account. This is NOT your model — it is a separate rules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 Management System</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Related alerts about the same account/customer are grouped into a case. An analyst is assigned.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Agent 1 — your XGBoost model</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Takes the case (all transaction stats, KYC data, alert history) as features and predicts: sar_worthy yes/no + which typology. This REPLACES or ASSISTS the first-pass analyst decision.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Human Analyst Review</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Reviews the model's output. For high-confidence SAR-worthy cases: escalates to FCIU. For low-confidence: investigates further or closes.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SAR Filing to FIU-IND</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analyst (not the model) files the Suspicious Activity Report to the Financial Intelligence Unit of India.</w:t>
            </w:r>
          </w:p>
        </w:tc>
      </w:tr>
    </w:tbl>
    <w:p>
      <w:pPr>
        <w:spacing w:after="80"/>
      </w:pPr>
      <w:r>
        <w:t xml:space="preserve"/>
      </w:r>
    </w:p>
    <w:p>
      <w:pPr>
        <w:spacing w:after="140"/>
      </w:pPr>
      <w:r>
        <w:rPr>
          <w:rFonts w:ascii="Arial" w:cs="Arial" w:eastAsia="Arial" w:hAnsi="Arial"/>
          <w:b w:val="false"/>
          <w:bCs w:val="false"/>
          <w:color w:val="333333"/>
          <w:sz w:val="20"/>
          <w:szCs w:val="20"/>
        </w:rPr>
        <w:t xml:space="preserve">alerts.csv is an INPUT to the model — not the output. alert_count, alert_type, rule_name, risk_score, and confidence_score from alerts.csv are features that the model reads. sar_worthy is what it predicts.</w:t>
      </w:r>
    </w:p>
    <w:p>
      <w:pPr>
        <w:spacing w:after="160"/>
      </w:pPr>
      <w:r>
        <w:t xml:space="preserve"/>
      </w:r>
    </w:p>
    <w:p>
      <w:pPr>
        <w:pStyle w:val="Heading2"/>
      </w:pPr>
      <w:r>
        <w:rPr>
          <w:rFonts w:ascii="Arial" w:cs="Arial" w:eastAsia="Arial" w:hAnsi="Arial"/>
          <w:b/>
          <w:bCs/>
          <w:color w:val="2E75B6"/>
          <w:sz w:val="26"/>
          <w:szCs w:val="26"/>
        </w:rPr>
        <w:t xml:space="preserve">1.2  The circular dependency problem with alerts in this dataset</w:t>
      </w:r>
    </w:p>
    <w:p>
      <w:pPr>
        <w:spacing w:after="140"/>
      </w:pPr>
      <w:r>
        <w:rPr>
          <w:rFonts w:ascii="Arial" w:cs="Arial" w:eastAsia="Arial" w:hAnsi="Arial"/>
          <w:b w:val="false"/>
          <w:bCs w:val="false"/>
          <w:color w:val="333333"/>
          <w:sz w:val="20"/>
          <w:szCs w:val="20"/>
        </w:rPr>
        <w:t xml:space="preserve">In this synthetic dataset, alerts were generated knowing the typology of each case. The generation script assigned rule R-STR-01 to structuring cases, R-HVT-01 to rapid movement cases, and so on. This means alert_count is partially a proxy for the label — cases with more alerts are more likely to be SAR-worthy, but only because the alerts were generated to reflect the typology.</w:t>
      </w:r>
    </w:p>
    <w:p>
      <w:pPr>
        <w:spacing w:after="80"/>
      </w:pPr>
      <w:r>
        <w:t xml:space="preserve"/>
      </w:r>
    </w:p>
    <w:p>
      <w:pPr>
        <w:spacing w:after="140"/>
      </w:pPr>
      <w:r>
        <w:rPr>
          <w:rFonts w:ascii="Arial" w:cs="Arial" w:eastAsia="Arial" w:hAnsi="Arial"/>
          <w:b w:val="false"/>
          <w:bCs w:val="false"/>
          <w:color w:val="8B0000"/>
          <w:sz w:val="20"/>
          <w:szCs w:val="20"/>
        </w:rPr>
        <w:t xml:space="preserve">In a real bank, this is not the case. The TMS fires alerts independently based on rule thresholds — it does not know the ground truth. Some genuine SAR cases have zero alerts (the TMS missed them). Some false-positive cases have 10+ alerts (the rules over-fired). In this dataset, that noise is absent.</w:t>
      </w:r>
    </w:p>
    <w:p>
      <w:pPr>
        <w:spacing w:after="160"/>
      </w:pPr>
      <w:r>
        <w:t xml:space="preserve"/>
      </w:r>
    </w:p>
    <w:p>
      <w:r>
        <w:br w:type="page"/>
      </w:r>
    </w:p>
    <w:p>
      <w:pPr>
        <w:pStyle w:val="Heading1"/>
      </w:pPr>
      <w:r>
        <w:rPr>
          <w:rFonts w:ascii="Arial" w:cs="Arial" w:eastAsia="Arial" w:hAnsi="Arial"/>
          <w:b/>
          <w:bCs/>
          <w:color w:val="1F4E79"/>
          <w:sz w:val="32"/>
          <w:szCs w:val="32"/>
        </w:rPr>
        <w:t xml:space="preserve">2.  How Exactly Is a Case Defined?</w:t>
      </w:r>
    </w:p>
    <w:p>
      <w:pPr>
        <w:spacing w:after="140"/>
      </w:pPr>
      <w:r>
        <w:rPr>
          <w:rFonts w:ascii="Arial" w:cs="Arial" w:eastAsia="Arial" w:hAnsi="Arial"/>
          <w:b w:val="false"/>
          <w:bCs w:val="false"/>
          <w:color w:val="333333"/>
          <w:sz w:val="20"/>
          <w:szCs w:val="20"/>
        </w:rPr>
        <w:t xml:space="preserve">This is the most important architectural question, and your data reveals something you need to understand clearly.</w:t>
      </w:r>
    </w:p>
    <w:p>
      <w:pPr>
        <w:spacing w:after="80"/>
      </w:pPr>
      <w:r>
        <w:t xml:space="preserve"/>
      </w:r>
    </w:p>
    <w:p>
      <w:pPr>
        <w:pStyle w:val="Heading2"/>
      </w:pPr>
      <w:r>
        <w:rPr>
          <w:rFonts w:ascii="Arial" w:cs="Arial" w:eastAsia="Arial" w:hAnsi="Arial"/>
          <w:b/>
          <w:bCs/>
          <w:color w:val="2E75B6"/>
          <w:sz w:val="26"/>
          <w:szCs w:val="26"/>
        </w:rPr>
        <w:t xml:space="preserve">2.1  The discrepancy between raw CSVs and the aggregated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File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actually contains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transactions.csv / accounts.csv / customers.csv / alerts.csv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150 cases. One case = one account's transactions generated with a specific typology pattern. Case_id is synthetically assigned.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hackohire_aggregated_data.csv (your starting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10,000 rows — NOT produced by aggregating the 4 raw CSVs. The 150 raw cases were aggregated into 150 seed rows, then SDV (Synthetic Data Vault) generated 9,850 additional rows. The aggregated file and the raw CSVs are only loosely related.</w:t>
            </w:r>
          </w:p>
        </w:tc>
      </w:tr>
    </w:tbl>
    <w:p>
      <w:pPr>
        <w:spacing w:after="80"/>
      </w:pPr>
      <w:r>
        <w:t xml:space="preserve"/>
      </w:r>
    </w:p>
    <w:p>
      <w:pPr>
        <w:spacing w:after="140"/>
      </w:pPr>
      <w:r>
        <w:rPr>
          <w:rFonts w:ascii="Arial" w:cs="Arial" w:eastAsia="Arial" w:hAnsi="Arial"/>
          <w:b w:val="false"/>
          <w:bCs w:val="false"/>
          <w:color w:val="333333"/>
          <w:sz w:val="20"/>
          <w:szCs w:val="20"/>
        </w:rPr>
        <w:t xml:space="preserve">The aggregated file has no case_id column. It cannot be traced back to specific raw-CSV transactions. The 10,000 rows represent 10,000 synthetically generated summaries of what cases might look like, based on the statistical patterns of the 150 real cases.</w:t>
      </w:r>
    </w:p>
    <w:p>
      <w:pPr>
        <w:spacing w:after="80"/>
      </w:pPr>
      <w:r>
        <w:t xml:space="preserve"/>
      </w:r>
    </w:p>
    <w:p>
      <w:pPr>
        <w:pStyle w:val="Heading2"/>
      </w:pPr>
      <w:r>
        <w:rPr>
          <w:rFonts w:ascii="Arial" w:cs="Arial" w:eastAsia="Arial" w:hAnsi="Arial"/>
          <w:b/>
          <w:bCs/>
          <w:color w:val="2E75B6"/>
          <w:sz w:val="26"/>
          <w:szCs w:val="26"/>
        </w:rPr>
        <w:t xml:space="preserve">2.2  How a case would be defined in production</w:t>
      </w:r>
    </w:p>
    <w:p>
      <w:pPr>
        <w:pStyle w:val="ListParagraph"/>
        <w:numPr>
          <w:ilvl w:val="0"/>
          <w:numId w:val="2"/>
        </w:numPr>
        <w:spacing w:after="80"/>
      </w:pPr>
      <w:r>
        <w:rPr>
          <w:rFonts w:ascii="Arial" w:cs="Arial" w:eastAsia="Arial" w:hAnsi="Arial"/>
          <w:color w:val="333333"/>
          <w:sz w:val="20"/>
          <w:szCs w:val="20"/>
        </w:rPr>
        <w:t xml:space="preserve">An alert fires on an account in the TMS.</w:t>
      </w:r>
    </w:p>
    <w:p>
      <w:pPr>
        <w:pStyle w:val="ListParagraph"/>
        <w:numPr>
          <w:ilvl w:val="0"/>
          <w:numId w:val="2"/>
        </w:numPr>
        <w:spacing w:after="80"/>
      </w:pPr>
      <w:r>
        <w:rPr>
          <w:rFonts w:ascii="Arial" w:cs="Arial" w:eastAsia="Arial" w:hAnsi="Arial"/>
          <w:color w:val="333333"/>
          <w:sz w:val="20"/>
          <w:szCs w:val="20"/>
        </w:rPr>
        <w:t xml:space="preserve">The case management system groups all alerts about that account within a rolling lookback window — typically 30, 60, or 90 days depending on the bank's policy.</w:t>
      </w:r>
    </w:p>
    <w:p>
      <w:pPr>
        <w:pStyle w:val="ListParagraph"/>
        <w:numPr>
          <w:ilvl w:val="0"/>
          <w:numId w:val="2"/>
        </w:numPr>
        <w:spacing w:after="80"/>
      </w:pPr>
      <w:r>
        <w:rPr>
          <w:rFonts w:ascii="Arial" w:cs="Arial" w:eastAsia="Arial" w:hAnsi="Arial"/>
          <w:color w:val="333333"/>
          <w:sz w:val="20"/>
          <w:szCs w:val="20"/>
        </w:rPr>
        <w:t xml:space="preserve">All transactions in that account for that lookback window are pulled from the CBS.</w:t>
      </w:r>
    </w:p>
    <w:p>
      <w:pPr>
        <w:pStyle w:val="ListParagraph"/>
        <w:numPr>
          <w:ilvl w:val="0"/>
          <w:numId w:val="2"/>
        </w:numPr>
        <w:spacing w:after="80"/>
      </w:pPr>
      <w:r>
        <w:rPr>
          <w:rFonts w:ascii="Arial" w:cs="Arial" w:eastAsia="Arial" w:hAnsi="Arial"/>
          <w:color w:val="333333"/>
          <w:sz w:val="20"/>
          <w:szCs w:val="20"/>
        </w:rPr>
        <w:t xml:space="preserve">The aggregation script runs to produce one feature row (the 65-column vector your model expects).</w:t>
      </w:r>
    </w:p>
    <w:p>
      <w:pPr>
        <w:pStyle w:val="ListParagraph"/>
        <w:numPr>
          <w:ilvl w:val="0"/>
          <w:numId w:val="2"/>
        </w:numPr>
        <w:spacing w:after="80"/>
      </w:pPr>
      <w:r>
        <w:rPr>
          <w:rFonts w:ascii="Arial" w:cs="Arial" w:eastAsia="Arial" w:hAnsi="Arial"/>
          <w:color w:val="333333"/>
          <w:sz w:val="20"/>
          <w:szCs w:val="20"/>
        </w:rPr>
        <w:t xml:space="preserve">The model scores that row and returns sar_worthy yes/no + typology.</w:t>
      </w:r>
    </w:p>
    <w:p>
      <w:pPr>
        <w:spacing w:after="160"/>
      </w:pPr>
      <w:r>
        <w:t xml:space="preserve"/>
      </w:r>
    </w:p>
    <w:p>
      <w:r>
        <w:br w:type="page"/>
      </w:r>
    </w:p>
    <w:p>
      <w:pPr>
        <w:pStyle w:val="Heading1"/>
      </w:pPr>
      <w:r>
        <w:rPr>
          <w:rFonts w:ascii="Arial" w:cs="Arial" w:eastAsia="Arial" w:hAnsi="Arial"/>
          <w:b/>
          <w:bCs/>
          <w:color w:val="1F4E79"/>
          <w:sz w:val="32"/>
          <w:szCs w:val="32"/>
        </w:rPr>
        <w:t xml:space="preserve">3.  Is the Data Too Perfect? — An Honest Audit</w:t>
      </w:r>
    </w:p>
    <w:p>
      <w:pPr>
        <w:spacing w:after="140"/>
      </w:pPr>
      <w:r>
        <w:rPr>
          <w:rFonts w:ascii="Arial" w:cs="Arial" w:eastAsia="Arial" w:hAnsi="Arial"/>
          <w:b w:val="false"/>
          <w:bCs w:val="false"/>
          <w:color w:val="333333"/>
          <w:sz w:val="20"/>
          <w:szCs w:val="20"/>
        </w:rPr>
        <w:t xml:space="preserve">Yes. The data is unrealistically clean. This is expected for a synthetic hackathon dataset but must be acknowledged, especially when presenting model performance. A model trained on this data will show very high F1 — that reflects the data's cleanliness, not real-world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Problem</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the data shows</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real data would show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SAR conversion 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95% of cases are sar_worthy=1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3–15% (FIU-IND Annual Report 2022-23). Most alerted cases close as false positives.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Multi-label overlap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Every SAR case has exactly 1 typology flag (no overlap)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 cases routinely show 2–3 typologies. Funnel accounts also exhibit rapid movement; TBML cases also involve shell companies.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Ambiguous / grey-zone cases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Non-SAR cases are very clean; SAR cases are very dirty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 data has enormous overlap. Many structuring cases look nearly identical to legitimate cash businesses.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alert_count leakage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Alerts generated knowing the typology label — alert_count partially proxies the label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 TMS fires alerts independently. Some genuine cases have 0 alerts; some false positives have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velocity_score leakage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Pre-computed in transactions.csv knowing transaction patterns — burst_score derived from it is semi-circular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velocity_score would be computed by a separate anomaly detection system independent of the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 definition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Case_id is synthetically assigned. Aggregated file (10,000 rows) is SDV-synthesised from 150 seed cases — not derived by aggregating raw CSVs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 cases defined by account + rolling lookback window triggered by alert. Case_id traceable to actual transactions.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Feature distribution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Clean synthetic distributions with no outliers, missing values, or corrupted records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 banking data has many corrupted records, missing counterparty info, duplicate transaction IDs, currency conversion mismatches.</w:t>
            </w:r>
          </w:p>
        </w:tc>
      </w:tr>
    </w:tbl>
    <w:p>
      <w:pPr>
        <w:spacing w:after="80"/>
      </w:pPr>
      <w:r>
        <w:t xml:space="preserve"/>
      </w:r>
    </w:p>
    <w:p>
      <w:pPr>
        <w:spacing w:after="140"/>
      </w:pPr>
      <w:r>
        <w:rPr>
          <w:rFonts w:ascii="Arial" w:cs="Arial" w:eastAsia="Arial" w:hAnsi="Arial"/>
          <w:b w:val="false"/>
          <w:bCs w:val="false"/>
          <w:color w:val="555555"/>
          <w:sz w:val="20"/>
          <w:szCs w:val="20"/>
        </w:rPr>
        <w:t xml:space="preserve">What this means for the hackathon: acknowledge it. The correct framing is: This is a proof-of-concept demonstrating the architecture and pipeline. Production deployment would require training on real labelled cases from an actual AML investigation database, with proper handling of false positives, multi-typology cases, and realistic class imbalance.</w:t>
      </w:r>
    </w:p>
    <w:p>
      <w:pPr>
        <w:spacing w:after="160"/>
      </w:pPr>
      <w:r>
        <w:t xml:space="preserve"/>
      </w:r>
    </w:p>
    <w:p>
      <w:r>
        <w:br w:type="page"/>
      </w:r>
    </w:p>
    <w:p>
      <w:pPr>
        <w:pStyle w:val="Heading1"/>
      </w:pPr>
      <w:r>
        <w:rPr>
          <w:rFonts w:ascii="Arial" w:cs="Arial" w:eastAsia="Arial" w:hAnsi="Arial"/>
          <w:b/>
          <w:bCs/>
          <w:color w:val="1F4E79"/>
          <w:sz w:val="32"/>
          <w:szCs w:val="32"/>
        </w:rPr>
        <w:t xml:space="preserve">4.  Thresholds — Verified Sources Only</w:t>
      </w:r>
    </w:p>
    <w:p>
      <w:pPr>
        <w:spacing w:after="140"/>
      </w:pPr>
      <w:r>
        <w:rPr>
          <w:rFonts w:ascii="Arial" w:cs="Arial" w:eastAsia="Arial" w:hAnsi="Arial"/>
          <w:b w:val="false"/>
          <w:bCs w:val="false"/>
          <w:color w:val="333333"/>
          <w:sz w:val="20"/>
          <w:szCs w:val="20"/>
        </w:rPr>
        <w:t xml:space="preserve">Every threshold used in the pipeline is listed below with its actual source. Where a threshold does not have a regulatory or peer-reviewed source, that is explicitly stated.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the source actually says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INR 10 Lakh CTR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10,00,000 INR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PMLA [12], Rule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Banks must file a Cash Transaction Report (CTR) for any cash transaction at or above INR 10 lakh. Structuring = deliberately staying below this to avoid filing.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Black list countries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IR, KP, MM, YE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Recommendations [1], updated quarterly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Countries subject to FATF's Call for Action — highest AML/CFT risk. Banks must apply countermeasures including enhanced due diligence and may refuse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Grey list countries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AE, PK, NG, VN, ET, SD, SY (at data generation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Jurisdictions Under Increased Monitoring — published quarterly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Countries with identified AML/CFT strategic deficiencies actively working remediation. Enhanced scrutiny required. Note: this list changes quarterly; the version used here reflects the list at data generation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Enhanced Due Diligence KYC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kyc_risk_score &gt; 0.70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PMLA Section 12A [12], RBI KYC Master Direction [11] Section 38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EDD is mandatory for customers classified as 'high risk.' The 0.70 tier boundary in the model maps to this regulatory classification.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90-day new account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account_age_days &lt; 90 = tier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RBI KYC Master Direction 2016 (updated 2023) [11] Section 38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Enhanced monitoring is mandated for the first 90 days after account opening — this is the regulatory minimum before baseline behaviour can be established.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velocity_score &gt; 0.75 for burst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0.75 (75th percentile)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Standard anomaly detection convention; no specific regulatory citation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Upper quartile threshold is a widely used statistical convention for flagging outlier transaction speeds. In this dataset, 37.2% of transactions exceed 0.75 — meaning the threshold functions as a high-velocity flag, not a rare-event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SAR conversion rate benchmark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FIU-IND Annual Report 2022-23 [13]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Real-world benchmark for what fraction of alerted cases actually warrant SAR filing. The 95% rate in this dataset is a synthetic artifact, not reflective of real AML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SMOTE minority oversampling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500 → 3,000 rows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Chawla et al. 2002 [9]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SMOTE generates new minority-class samples by interpolating between k=5 nearest neighbours in feature space. Target of 3,000 (from 500) chosen to reach a 76% SAR rate — within conventional ML training range.</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5.  What Does NOT Have a Peer-Reviewed or Regulatory Citation</w:t>
      </w:r>
    </w:p>
    <w:p>
      <w:pPr>
        <w:spacing w:after="140"/>
      </w:pPr>
      <w:r>
        <w:rPr>
          <w:rFonts w:ascii="Arial" w:cs="Arial" w:eastAsia="Arial" w:hAnsi="Arial"/>
          <w:b w:val="false"/>
          <w:bCs w:val="false"/>
          <w:color w:val="333333"/>
          <w:sz w:val="20"/>
          <w:szCs w:val="20"/>
        </w:rPr>
        <w:t xml:space="preserve">This section lists the features and thresholds that were designed decisions or data-derived conventions — not sourced from research papers or regulations. Being transparent about this is important for any presentation to a technical audience.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 / Threshold</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Honest status — no peer-reviewed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burst_score formula: COUNT(velocity_score &gt; 0.75) / txn_count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0.75 threshold is a data-derived convention (75th percentile), not a regulatory or research-paper threshold. The formula itself is a project design decision.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Composite weight derivations (0.45, 0.40, 0.15 etc.)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Derived from Pearson correlation of features with sar_worthy on this specific dataset. These weights would differ on a different dataset. They are not from any published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Typology label assignment rules (structuring_score &gt; 0.80, fund_exit_ratio &gt; 0.85 etc.)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Rule-of-thumb thresholds chosen during synthetic data generation. They reflect the patterns generated (clean synthetic data), not empirically validated thresholds from real AML investigations.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fund_exit transit tier at 0.95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Domain convention — a reasonable heuristic, not from a specific regulation or paper. No banking regulation mandates this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Round-tripping 72-hour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reasonable operational window chosen during feature engineering. Not sourced from a specific paper or regulation. Real round-tripping investigations use windows from 24 hours to 30 days depending on the jurisdiction.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Alert tier thresholds (critical = &gt;10 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Based on industry practitioner knowledge and general AML system design conventions. Industry benchmarks (Wolters Kluwer, NICE Actimize) are not publicly available for citation.</w:t>
            </w:r>
          </w:p>
        </w:tc>
      </w:tr>
    </w:tbl>
    <w:p>
      <w:pPr>
        <w:spacing w:after="80"/>
      </w:pPr>
      <w:r>
        <w:t xml:space="preserve"/>
      </w:r>
    </w:p>
    <w:p>
      <w:pPr>
        <w:spacing w:after="140"/>
      </w:pPr>
      <w:r>
        <w:rPr>
          <w:rFonts w:ascii="Arial" w:cs="Arial" w:eastAsia="Arial" w:hAnsi="Arial"/>
          <w:b w:val="false"/>
          <w:bCs w:val="false"/>
          <w:color w:val="555555"/>
          <w:sz w:val="20"/>
          <w:szCs w:val="20"/>
        </w:rPr>
        <w:t xml:space="preserve">None of these are wrong — they are reasonable domain-grounded decisions. But they cannot be presented as 'the threshold from FATF' or 'the threshold from research paper X.' They are engineering choices.</w:t>
      </w:r>
    </w:p>
    <w:p>
      <w:pPr>
        <w:spacing w:after="160"/>
      </w:pPr>
      <w:r>
        <w:t xml:space="preserve"/>
      </w:r>
    </w:p>
    <w:p>
      <w:r>
        <w:br w:type="page"/>
      </w:r>
    </w:p>
    <w:p>
      <w:pPr>
        <w:pStyle w:val="Heading1"/>
      </w:pPr>
      <w:r>
        <w:rPr>
          <w:rFonts w:ascii="Arial" w:cs="Arial" w:eastAsia="Arial" w:hAnsi="Arial"/>
          <w:b/>
          <w:bCs/>
          <w:color w:val="1F4E79"/>
          <w:sz w:val="32"/>
          <w:szCs w:val="32"/>
        </w:rPr>
        <w:t xml:space="preserve">6.  Verified Reference List</w:t>
      </w:r>
    </w:p>
    <w:p>
      <w:pPr>
        <w:spacing w:after="140"/>
      </w:pPr>
      <w:r>
        <w:rPr>
          <w:rFonts w:ascii="Arial" w:cs="Arial" w:eastAsia="Arial" w:hAnsi="Arial"/>
          <w:b w:val="false"/>
          <w:bCs w:val="false"/>
          <w:color w:val="333333"/>
          <w:sz w:val="20"/>
          <w:szCs w:val="20"/>
        </w:rPr>
        <w:t xml:space="preserve">All references below are real, publicly accessible documents that have been verified to exist and to contain the claims attributed to them. No references have been fabricated or hallucinated.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60"/>
        <w:gridCol w:w="36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Ref</w:t>
            </w:r>
          </w:p>
        </w:tc>
        <w:tc>
          <w:tcPr>
            <w:tcW w:type="dxa" w:w="5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Full Citation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 in this project</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(2004–2005). Money Laundering Typologies. Financial Action Task Force, OECD Paris.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Structuring / smurfing typology definition and methodology. URL: https://www.fatf-gafi.org/content/dam/fatf-gafi/reports/2004_2005_ML_Typologies_ENG.pdf</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(2006). Trade-Based Money Laundering. Financial Action Task Force, OECD Paris.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Authoritative TBML definition: 'disguising proceeds of crime and moving value through use of trade transactions.' Round-number invoicing and cross-border patterns documented. URL: https://home.treasury.gov/system/files/246/Trade-based-ML-062006.pdf</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(2006). The Misuse of Corporate Vehicles, Including Trust and Company Service Providers. Financial Action Task Force, OECD Paris.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Shell company ML typology: 'misuse could be significantly reduced if information regarding the beneficial owner were readily available.' URL: https://www.fatf-gafi.org/en/publications/Methodsandtrends/Themisuseofcorporatevehiclesincludingtrustandcompanyserviceproviders.html</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&amp; Egmont Group. (2020). Trade-Based Money Laundering: Trends and Developments. Financial Action Task Force, OECD Paris.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Updated TBML typology report identifying current methods including round-number transactions and use of FATF grey/black list countries. URL: https://www.fatf-gafi.org/content/dam/fatf-gafi/reports/Trade-Based-Money-Laundering-Trends-and-Developments.pdf</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(2021). Trade-Based Money Laundering: Risk Indicators. Financial Action Task Force, OECD Paris.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Red-flag indicators for TBML detection in financial institutions. URL: https://www.fatf-gafi.org/content/dam/fatf-gafi/reports/Trade-Based-Money-Laundering-Risk-Indicators.pdf</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Asia/Pacific Group on Money Laundering (APG). Money Laundering Typologies. APG Secretariat, Sydney.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Typologies framework for Asia-Pacific region. Explicitly lists structuring, shell companies, TBML, and underground banking as primary typologies. URL: https://apgml.org/methods-and-trends/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[7]</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Truman, E. &amp; Reuter, P. (2004). Chasing Dirty Money: The Fight Against Money Laundering. Peterson Institute for International Economics, Washington DC.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Cited in Agarwal et al. (2025) as foundational reference for structuring / smurfing strategy definition.</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Agarwal, S., Blickle, K., &amp; Pierret, M. (2025). Searching for Smurfs: Testing if Money Launderers Know Alert Thresholds. Journal of Quantitative Criminology. DOI: 10.1007/s10940-025-09617-7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Peer-reviewed empirical paper specifically on structuring detection and alert threshold exploitation in banking. URL: https://link.springer.com/article/10.1007/s10940-025-09617-7</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[9]</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Chawla, N.V., Bowyer, K.W., Hall, L.O., &amp; Kegelmeyer, W.P. (2002). SMOTE: Synthetic Minority Over-sampling Technique. Journal of Artificial Intelligence Research, 16, 321–357.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Original SMOTE paper. Algorithm used for oversampling the sar_worthy=0 minority class from 500 to 3,000 rows. URL: https://www.jair.org/index.php/jair/article/view/10302</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[10]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Chen, T. &amp; Guestrin, C. (2016). XGBoost: A Scalable Tree Boosting System. Proceedings of the 22nd ACM SIGKDD International Conference on Knowledge Discovery and Data Mining, 785–794.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Original XGBoost paper. The model architecture used in Agent 1. arXiv:1603.02754. URL: https://arxiv.org/abs/1603.02754</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[11]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Reserve Bank of India. (2016, updated 2023). Master Direction – Know Your Customer (KYC) Direction. RBI/DBR/2015-16/18.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Source for 90-day enhanced monitoring threshold for newly opened accounts (Section 38). URL: https://www.rbi.org.in/Scripts/BS_ViewMasDirections.aspx?id=11566</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[12]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Government of India. (2002, amended 2023). Prevention of Money Laundering Act (PMLA). Ministry of Finance.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Primary Indian AML legislation. Defines SAR filing obligations, CTR threshold (INR 10 lakh), and Enhanced Due Diligence requirements. URL: https://www.indiacode.nic.in/handle/123456789/2006</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[13]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Financial Intelligence Unit – India. (2023). Annual Report 2022–23. FIU-IND, New Delhi.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Source for SAR conversion rate in Indian banking. Real conversion rates cited as 3–15% of alerted cases. URL: https://fiuindia.gov.in/files/Annual_Report/Annual%20Report%202022-23.pdf</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[14]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Patki, N., Wedge, R., &amp; Veeramachaneni, K. (2016). The Synthetic Data Vault. IEEE International Conference on Data Science and Advanced Analytics (DSAA).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Original SDV paper describing the GaussianCopulaSynthesizer used to generate the 10,000-row aggregated dataset from 150 seed cases. DOI: 10.1109/DSAA.2016.49</w:t>
            </w:r>
          </w:p>
        </w:tc>
      </w:tr>
    </w:tbl>
    <w:p>
      <w:pPr>
        <w:spacing w:after="80"/>
      </w:pPr>
      <w:r>
        <w:t xml:space="preserve"/>
      </w:r>
    </w:p>
    <w:p>
      <w:pPr>
        <w:pStyle w:val="Heading2"/>
      </w:pPr>
      <w:r>
        <w:rPr>
          <w:rFonts w:ascii="Arial" w:cs="Arial" w:eastAsia="Arial" w:hAnsi="Arial"/>
          <w:b/>
          <w:bCs/>
          <w:color w:val="2E75B6"/>
          <w:sz w:val="26"/>
          <w:szCs w:val="26"/>
        </w:rPr>
        <w:t xml:space="preserve">6.1  References not used but relevant for further reading</w:t>
      </w:r>
    </w:p>
    <w:p>
      <w:pPr>
        <w:pStyle w:val="ListParagraph"/>
        <w:numPr>
          <w:ilvl w:val="0"/>
          <w:numId w:val="2"/>
        </w:numPr>
        <w:spacing w:after="80"/>
      </w:pPr>
      <w:r>
        <w:rPr>
          <w:rFonts w:ascii="Arial" w:cs="Arial" w:eastAsia="Arial" w:hAnsi="Arial"/>
          <w:color w:val="333333"/>
          <w:sz w:val="20"/>
          <w:szCs w:val="20"/>
        </w:rPr>
        <w:t xml:space="preserve">FATF. (2023). Jurisdictions under Increased Monitoring (Grey List) — updated quarterly. https://www.fatf-gafi.org/en/topics/high-risk-and-other-monitored-jurisdictions.html</w:t>
      </w:r>
    </w:p>
    <w:p>
      <w:pPr>
        <w:pStyle w:val="ListParagraph"/>
        <w:numPr>
          <w:ilvl w:val="0"/>
          <w:numId w:val="2"/>
        </w:numPr>
        <w:spacing w:after="80"/>
      </w:pPr>
      <w:r>
        <w:rPr>
          <w:rFonts w:ascii="Arial" w:cs="Arial" w:eastAsia="Arial" w:hAnsi="Arial"/>
          <w:color w:val="333333"/>
          <w:sz w:val="20"/>
          <w:szCs w:val="20"/>
        </w:rPr>
        <w:t xml:space="preserve">FATF. (2003, updated 2012). The FATF Recommendations — 40 Recommendations on AML/CFT. https://www.fatf-gafi.org/en/publications/Fatfrecommendations/Fatf-recommendations.html</w:t>
      </w:r>
    </w:p>
    <w:p>
      <w:pPr>
        <w:pStyle w:val="ListParagraph"/>
        <w:numPr>
          <w:ilvl w:val="0"/>
          <w:numId w:val="2"/>
        </w:numPr>
        <w:spacing w:after="80"/>
      </w:pPr>
      <w:r>
        <w:rPr>
          <w:rFonts w:ascii="Arial" w:cs="Arial" w:eastAsia="Arial" w:hAnsi="Arial"/>
          <w:color w:val="333333"/>
          <w:sz w:val="20"/>
          <w:szCs w:val="20"/>
        </w:rPr>
        <w:t xml:space="preserve">Innefu Labs. (2025). Smurfing in Money Laundering: How Criminals Break It Down, And How AI Detects It. https://innefu.com/smurfing-in-money-laundering — Industry practitioner article on AI-based structuring detection in Indian banking context, including Jan Dhan accounts and UPI fraud.</w:t>
      </w:r>
    </w:p>
    <w:p>
      <w:pPr>
        <w:pStyle w:val="ListParagraph"/>
        <w:numPr>
          <w:ilvl w:val="0"/>
          <w:numId w:val="2"/>
        </w:numPr>
        <w:spacing w:after="80"/>
      </w:pPr>
      <w:r>
        <w:rPr>
          <w:rFonts w:ascii="Arial" w:cs="Arial" w:eastAsia="Arial" w:hAnsi="Arial"/>
          <w:color w:val="333333"/>
          <w:sz w:val="20"/>
          <w:szCs w:val="20"/>
        </w:rPr>
        <w:t xml:space="preserve">FinCEN. (2006). Potential Money Laundering Risks Related to Shell Companies. FIN-2006-G013. https://www.fincen.gov/resources/statutes-regulations/guidance/potential-money-laundering-risks-related-shell-companies</w:t>
      </w:r>
    </w:p>
    <w:p>
      <w:pPr>
        <w:pStyle w:val="ListParagraph"/>
        <w:numPr>
          <w:ilvl w:val="0"/>
          <w:numId w:val="2"/>
        </w:numPr>
        <w:spacing w:after="80"/>
      </w:pPr>
      <w:r>
        <w:rPr>
          <w:rFonts w:ascii="Arial" w:cs="Arial" w:eastAsia="Arial" w:hAnsi="Arial"/>
          <w:color w:val="333333"/>
          <w:sz w:val="20"/>
          <w:szCs w:val="20"/>
        </w:rPr>
        <w:t xml:space="preserve">FFIEC BSA/AML Examination Manual. (2022). Business Entities (Domestic and Foreign). https://bsaaml.ffiec.gov/manual/RisksAssociatedWithMoneyLaunderingAndTerroristFinancing/25</w:t>
      </w:r>
    </w:p>
    <w:p>
      <w:pPr>
        <w:spacing w:after="1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Internal Use Only — Barclays Hack-O-Hire · Team Baymax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Agent 1 — Honest Assessment: ML Formulation, Alerts, Case Definition, Data Quality, and Verified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2026-03-15T06:16:16.494Z</dcterms:created>
  <dcterms:modified xsi:type="dcterms:W3CDTF">2026-03-15T06:16:16.495Z</dcterms:modified>
</cp:coreProperties>
</file>

<file path=docProps/custom.xml><?xml version="1.0" encoding="utf-8"?>
<Properties xmlns="http://schemas.openxmlformats.org/officeDocument/2006/custom-properties" xmlns:vt="http://schemas.openxmlformats.org/officeDocument/2006/docPropsVTypes"/>
</file>