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60"/>
          <w:szCs w:val="60"/>
        </w:rPr>
        <w:t xml:space="preserve">Agent 1 — Master Documentation</w:t>
      </w:r>
    </w:p>
    <w:p>
      <w:pPr>
        <w:spacing w:after="80"/>
        <w:jc w:val="center"/>
      </w:pPr>
      <w:r>
        <w:rPr>
          <w:rFonts w:ascii="Arial" w:cs="Arial" w:eastAsia="Arial" w:hAnsi="Arial"/>
          <w:color w:val="2E75B6"/>
          <w:sz w:val="28"/>
          <w:szCs w:val="28"/>
        </w:rPr>
        <w:t xml:space="preserve">SAR Generator · Case Intake &amp; Classification Pipeline</w:t>
      </w:r>
    </w:p>
    <w:p>
      <w:pPr>
        <w:spacing w:after="80"/>
        <w:jc w:val="center"/>
      </w:pPr>
      <w:r>
        <w:rPr>
          <w:rFonts w:ascii="Arial" w:cs="Arial" w:eastAsia="Arial" w:hAnsi="Arial"/>
          <w:color w:val="555555"/>
          <w:sz w:val="22"/>
          <w:szCs w:val="22"/>
        </w:rPr>
        <w:t xml:space="preserve">Barclays Hack-O-Hire · Team Baymax</w:t>
      </w:r>
    </w:p>
    <w:p>
      <w:pPr>
        <w:spacing w:after="400"/>
        <w:jc w:val="center"/>
      </w:pPr>
      <w:r>
        <w:rPr>
          <w:rFonts w:ascii="Arial" w:cs="Arial" w:eastAsia="Arial" w:hAnsi="Arial"/>
          <w:color w:val="555555"/>
          <w:sz w:val="20"/>
          <w:szCs w:val="20"/>
        </w:rPr>
        <w:t xml:space="preserve">Complete record: raw data → aggregation → data fixes → validation → feature engineering</w:t>
      </w:r>
    </w:p>
    <w:p>
      <w:pPr>
        <w:pStyle w:val="Heading1"/>
      </w:pPr>
      <w:r>
        <w:rPr>
          <w:rFonts w:ascii="Arial" w:cs="Arial" w:eastAsia="Arial" w:hAnsi="Arial"/>
          <w:b/>
          <w:bCs/>
          <w:color w:val="1F4E79"/>
          <w:sz w:val="32"/>
          <w:szCs w:val="32"/>
        </w:rPr>
        <w:t xml:space="preserve">1.  Pipeline Overview</w:t>
      </w:r>
    </w:p>
    <w:p>
      <w:pPr>
        <w:spacing w:after="140"/>
      </w:pPr>
      <w:r>
        <w:rPr>
          <w:rFonts w:ascii="Arial" w:cs="Arial" w:eastAsia="Arial" w:hAnsi="Arial"/>
          <w:b w:val="false"/>
          <w:bCs w:val="false"/>
          <w:color w:val="333333"/>
          <w:sz w:val="20"/>
          <w:szCs w:val="20"/>
        </w:rPr>
        <w:t xml:space="preserve">Agent 1 is a supervised multi-label XGBoost classifier. It sits between the bank's Transaction Monitoring System (which fires rule-based alerts) and the human analyst (who files the SAR). The model reads an already-alerted case and predicts: should a SAR be filed, and if so, which money-laundering typology is present?</w:t>
      </w:r>
    </w:p>
    <w:p>
      <w:pPr>
        <w:spacing w:after="80"/>
      </w:pPr>
      <w:r>
        <w:t xml:space="preserve"/>
      </w:r>
    </w:p>
    <w:p>
      <w:pPr>
        <w:spacing w:after="140"/>
      </w:pPr>
      <w:r>
        <w:rPr>
          <w:rFonts w:ascii="Arial" w:cs="Arial" w:eastAsia="Arial" w:hAnsi="Arial"/>
          <w:b/>
          <w:bCs/>
          <w:color w:val="333333"/>
          <w:sz w:val="20"/>
          <w:szCs w:val="20"/>
        </w:rPr>
        <w:t xml:space="preserve">The model does NOT generate alerts. Alerts are generated upstream by the TMS (NICE Actimize, Temenos, Oracle FCCM). alerts.csv is a feature source going INTO the model, not its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9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Stage</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happened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Raw CSV Generation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Python Faker generates 4 CSVs with Indian banking data: transactions.csv (1,619 rows), accounts.csv (150), customers.csv (150), alerts.csv (277). Typology-specific transaction generators create realistic patterns for structuring, rapid movement, layering, TBML.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Aggregation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 CSVs merged via join chain (alerts→transactions→accounts→customers). Collapsed to one row per case with 20 engineered features + 7 labels. SDV GaussianCopulaSynthesizer scales from 150 seed cases to 10,000 rows.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 Fixing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Four structural problems corrected: multi-label injection, noise injection, class imbalance correction (downsample + SMOTE), skew correction (cbrt + log1p). Output: data_fixed.csv (8,000 rows x 38 cols).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7-section automated validation on data_fixed.csv. All checks pass. Confirms label integrity, class balance, feature ranges, skewness, typology signatures, and correlations.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Feature Engineering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27 new features added across 7 groups: ratios, interactions, speed scores, composites, ordinal tiers, typology count, flag aggregations. Output: data_engineered.csv (8,000 rows x 65 cols).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Model Training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NEXT: XGBoost MultiOutputClassifier — one binary classifier per label. Train/val/test 70/15/15 stratified split. Target: sar_worthy F1 &gt; 0.85, Hamming loss &lt; 0.10.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Lambda Packaging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NEXT: Wrap aggregation + model inference in AWS Lambda function. Feature parity between training and inference is 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Step Functions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NEXT: Wire Lambda as first state in AWS Step Functions workflow. SAR-worthy cases route to planning agent; others close.</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2.  Raw CSV Files — Column Reference</w:t>
      </w:r>
    </w:p>
    <w:p>
      <w:pPr>
        <w:spacing w:after="140"/>
      </w:pPr>
      <w:r>
        <w:rPr>
          <w:rFonts w:ascii="Arial" w:cs="Arial" w:eastAsia="Arial" w:hAnsi="Arial"/>
          <w:b w:val="false"/>
          <w:bCs w:val="false"/>
          <w:color w:val="333333"/>
          <w:sz w:val="20"/>
          <w:szCs w:val="20"/>
        </w:rPr>
        <w:t xml:space="preserve">Four CSV files form the raw data. Each was synthetically generated with typology-specific transaction patterns. The join chain for aggregation: alerts → transactions (case_id) → accounts (account_id) → customers (customer_id).</w:t>
      </w:r>
    </w:p>
    <w:p>
      <w:pPr>
        <w:spacing w:after="80"/>
      </w:pPr>
      <w:r>
        <w:t xml:space="preserve"/>
      </w:r>
    </w:p>
    <w:p>
      <w:pPr>
        <w:pStyle w:val="Heading2"/>
      </w:pPr>
      <w:r>
        <w:rPr>
          <w:rFonts w:ascii="Arial" w:cs="Arial" w:eastAsia="Arial" w:hAnsi="Arial"/>
          <w:b/>
          <w:bCs/>
          <w:color w:val="2E75B6"/>
          <w:sz w:val="26"/>
          <w:szCs w:val="26"/>
        </w:rPr>
        <w:t xml:space="preserve">2.1  transactions.csv  —  1,619 rows × 13 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 / AML significance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Unique transaction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Links to accounts.csv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case_id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Investigation case grouping — all transactions for one case share this 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Timestamp — used to compute time_to_first_outbound_minutes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CREDIT / DEBIT / WIRE_IN / WIRE_OUT / INTERNAL_TRANSFER / UPI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Transaction amount in transaction currency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INR / USD / AED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counterparty_name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Name of the other party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counterparty_account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 number of the other party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counterparty_country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Country code — drives FATF risk flags (IN=low, AE=grey, IR=black)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channel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BRANCH / NET_BANKING / SWIFT / RTGS / UPI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is_high_value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Boolean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True if amount exceeds high-value reporting threshold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velocity_score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Pre-computed transaction speed anomaly score — basis for burst_score. NOTE: computed knowing transaction patterns; potential leakage risk.</w:t>
            </w:r>
          </w:p>
        </w:tc>
      </w:tr>
    </w:tbl>
    <w:p>
      <w:pPr>
        <w:spacing w:after="160"/>
      </w:pPr>
      <w:r>
        <w:t xml:space="preserve"/>
      </w:r>
    </w:p>
    <w:p>
      <w:pPr>
        <w:pStyle w:val="Heading2"/>
      </w:pPr>
      <w:r>
        <w:rPr>
          <w:rFonts w:ascii="Arial" w:cs="Arial" w:eastAsia="Arial" w:hAnsi="Arial"/>
          <w:b/>
          <w:bCs/>
          <w:color w:val="2E75B6"/>
          <w:sz w:val="26"/>
          <w:szCs w:val="26"/>
        </w:rPr>
        <w:t xml:space="preserve">2.2  accounts.csv  —  150 rows × 10 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 / AML significance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Primary key — links to transactions and alerts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customer_id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Links to customers.csv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Bank account 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SAVINGS / CURRENT / NRE / NRO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avg_monthly_balance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Average balance over account life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international_txn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Boolean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Whether account is enabled for international transactions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Base currency — INR in this dataset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open_date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 opening date — drives account_age_days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bank_id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BANK-SBI / BANK-HDFC / BANK-ICICI / BANK-AXIS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ACTIVE / DORMANT / CLOSED</w:t>
            </w:r>
          </w:p>
        </w:tc>
      </w:tr>
    </w:tbl>
    <w:p>
      <w:pPr>
        <w:spacing w:after="160"/>
      </w:pPr>
      <w:r>
        <w:t xml:space="preserve"/>
      </w:r>
    </w:p>
    <w:p>
      <w:pPr>
        <w:pStyle w:val="Heading2"/>
      </w:pPr>
      <w:r>
        <w:rPr>
          <w:rFonts w:ascii="Arial" w:cs="Arial" w:eastAsia="Arial" w:hAnsi="Arial"/>
          <w:b/>
          <w:bCs/>
          <w:color w:val="2E75B6"/>
          <w:sz w:val="26"/>
          <w:szCs w:val="26"/>
        </w:rPr>
        <w:t xml:space="preserve">2.3  customers.csv  —  150 rows × 13 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 / AML significance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customer_id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Primary 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full_name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Individual name or company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customer_type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individual / corporate / trust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dob_or_incorp_date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Date of birth or incorporation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nationality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Country code — feeds FATF risk scoring and kyc_risk_score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occupation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consultant / trader / import-export / accountant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declared_income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Self-declared annual income in INR — used for deviation ratio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risk_rating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 / MEDIUM / HIGH — set at KYC onboarding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pep_flag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Boolean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Politically Exposed Person — government connection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When the customer record was created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customer_since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Customer relationship start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previous_sar_count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Prior SAR filings — drives historical_sar_flag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current_risk_trend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STABLE / ESCALATING / DECLINING</w:t>
            </w:r>
          </w:p>
        </w:tc>
      </w:tr>
    </w:tbl>
    <w:p>
      <w:pPr>
        <w:spacing w:after="160"/>
      </w:pPr>
      <w:r>
        <w:t xml:space="preserve"/>
      </w:r>
    </w:p>
    <w:p>
      <w:pPr>
        <w:pStyle w:val="Heading2"/>
      </w:pPr>
      <w:r>
        <w:rPr>
          <w:rFonts w:ascii="Arial" w:cs="Arial" w:eastAsia="Arial" w:hAnsi="Arial"/>
          <w:b/>
          <w:bCs/>
          <w:color w:val="2E75B6"/>
          <w:sz w:val="26"/>
          <w:szCs w:val="26"/>
        </w:rPr>
        <w:t xml:space="preserve">2.4  alerts.csv  —  277 rows × 9 cols</w:t>
      </w:r>
    </w:p>
    <w:p>
      <w:pPr>
        <w:spacing w:after="140"/>
      </w:pPr>
      <w:r>
        <w:rPr>
          <w:rFonts w:ascii="Arial" w:cs="Arial" w:eastAsia="Arial" w:hAnsi="Arial"/>
          <w:b w:val="false"/>
          <w:bCs w:val="false"/>
          <w:color w:val="8B0000"/>
          <w:sz w:val="20"/>
          <w:szCs w:val="20"/>
        </w:rPr>
        <w:t xml:space="preserve">Alerts are generated by the Transaction Monitoring System. In this synthetic dataset, alerts were assigned knowing the typology — making alert_count a partial proxy for the label. In production, TMS fires alerts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5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 / AML significance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alert_id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Unique alert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case_id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Links alert to investigation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Which account triggered the alert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alert_type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PATTERN_MATCH / VELOCITY_SPIKE / THRESHOLD_BREACH / PEER_DEVIATION / WATCHLIST_HIT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rule_name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R-STR-01/02 (structuring), R-HVT-01/02 (high velocity), R-LYR-01 (layering), R-TBM-01/02 (TBML), R-IWT-01/02 (intl wire), R-LOW-01 (low risk). NOTE: generated knowing typology — alert_count partially proxies the label (leakage).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Free text rule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triggered_at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risk_score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Alerting engine risk 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confidence_score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Alerting engine confidence</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3.  Aggregated Data — hackohire_aggregarted_data.csv  (10,000 × 27)</w:t>
      </w:r>
    </w:p>
    <w:p>
      <w:pPr>
        <w:spacing w:after="140"/>
      </w:pPr>
      <w:r>
        <w:rPr>
          <w:rFonts w:ascii="Arial" w:cs="Arial" w:eastAsia="Arial" w:hAnsi="Arial"/>
          <w:b w:val="false"/>
          <w:bCs w:val="false"/>
          <w:color w:val="333333"/>
          <w:sz w:val="20"/>
          <w:szCs w:val="20"/>
        </w:rPr>
        <w:t xml:space="preserve">The aggregation unit is case_id. Every column is computed over all transactions belonging to one case. The raw CSVs contain 150 real cases. SDV GaussianCopulaSynthesizer scaled these to 10,000 rows. The aggregated file cannot be directly traced back to raw-CSV transactions.</w:t>
      </w:r>
    </w:p>
    <w:p>
      <w:pPr>
        <w:spacing w:after="80"/>
      </w:pPr>
      <w:r>
        <w:t xml:space="preserve"/>
      </w:r>
    </w:p>
    <w:p>
      <w:pPr>
        <w:pStyle w:val="Heading2"/>
      </w:pPr>
      <w:r>
        <w:rPr>
          <w:rFonts w:ascii="Arial" w:cs="Arial" w:eastAsia="Arial" w:hAnsi="Arial"/>
          <w:b/>
          <w:bCs/>
          <w:color w:val="2E75B6"/>
          <w:sz w:val="26"/>
          <w:szCs w:val="26"/>
        </w:rPr>
        <w:t xml:space="preserve">3.1  Feature columns — formulas and AML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3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Formula</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AML Significance</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Transaction Volume Statistics (6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total_txn_amount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SUM(amount)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 financial throughput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avg_txn_amount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MEAN(amount)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Typical deal size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std_txn_amount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STD(amount)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Amount variance — low = structuring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COUNT(txn_id)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Transaction volume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max_txn_amount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MAX(amount)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Spike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min_txn_amount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MIN(amount) GROUP BY case_id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Probe transaction detection</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Behavioural / Temporal Features (4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burst_score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COUNT(velocity_score&gt;0.75) / txn_count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Rapid transaction proportion — layering signal. 0.75 = 75th percentile of velocity_score (upper quartile anomaly convention).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time_to_first_outbound_minutes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MIN(outbound txn_date) - MIN(inbound txn_date) in minutes. Sentinel = 9,999 if no outbound found.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Speed of fund exit — low = money leaves immediately upon arrival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fund_exit_ratio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SUM(outbound amounts) / SUM(all amounts). Clipped at 1.5 max.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Proportion of money leaving. Near 1.0 = transit account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txn_velocity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(txn_count / account_age_days) x 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Monthly transaction rate normalised by account age</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Counterparty / Network Features (4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distinct_counterparties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COUNT(DISTINCT counterparty_account)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Unique parties — high = fan-out / smurfing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counterparty_diversity_score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 MAX(count per counterparty / txn_count)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Inverse concentration. Low = dominated by one party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incoming_sources_count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COUNT(DISTINCT counterparty on inbound txns)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 senders — high with few outbound = funnel account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international_counterparty_flag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IF ANY(counterparty_country != home country)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Any cross-border activity present</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Customer &amp; KYC Features (4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pep_flag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customers.pep_flag via account→customer join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Politically Exposed Person — immediate elevated risk [FATF-RECS R.12]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high_risk_country_flag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IF nationality OR any counterparty in FATF grey/black list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Jurisdictional risk exposure [FATF-RECS R.19]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kyc_risk_score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 [0-1]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0.4*risk_rating + 0.3*pep_flag + 0.2*hr_country + 0.1*risk_trend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Composite KYC risk score [PMLA S.12A]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account_age_days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(MAX(txn_date) - accounts.open_date).days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 maturity [RBI-KYC S.38]: new = higher risk</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Alert &amp; History Features (2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alert_count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COUNT(alerts) WHERE account_id matches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Cumulative red-flag count. NOTE: alerts generated knowing typology — partial leakage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historical_sar_flag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IF customers.previous_sar_count &gt;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Prior SAR filing — strongest recidivism indicator [PMLA S.12]</w:t>
            </w:r>
          </w:p>
        </w:tc>
      </w:tr>
    </w:tbl>
    <w:p>
      <w:pPr>
        <w:spacing w:after="160"/>
      </w:pPr>
      <w:r>
        <w:t xml:space="preserve"/>
      </w:r>
    </w:p>
    <w:p>
      <w:pPr>
        <w:pStyle w:val="Heading2"/>
      </w:pPr>
      <w:r>
        <w:rPr>
          <w:rFonts w:ascii="Arial" w:cs="Arial" w:eastAsia="Arial" w:hAnsi="Arial"/>
          <w:b/>
          <w:bCs/>
          <w:color w:val="2E75B6"/>
          <w:sz w:val="26"/>
          <w:szCs w:val="26"/>
        </w:rPr>
        <w:t xml:space="preserve">3.2  Label columns — the six SAR typologies</w:t>
      </w:r>
    </w:p>
    <w:p>
      <w:pPr>
        <w:spacing w:after="140"/>
      </w:pPr>
      <w:r>
        <w:rPr>
          <w:rFonts w:ascii="Arial" w:cs="Arial" w:eastAsia="Arial" w:hAnsi="Arial"/>
          <w:b w:val="false"/>
          <w:bCs w:val="false"/>
          <w:color w:val="333333"/>
          <w:sz w:val="20"/>
          <w:szCs w:val="20"/>
        </w:rPr>
        <w:t xml:space="preserve">sar_worthy = 1 if any typology flag = 1. Six typologies are covered, each corresponding to a documented FATF money-laundering pattern.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Typology</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Real-World Pattern</w:t>
            </w:r>
          </w:p>
        </w:tc>
        <w:tc>
          <w:tcPr>
            <w:tcW w:type="dxa" w:w="4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 Signature in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sar_worthy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TARGET LABEL. 1 = Suspicious Activity Report warranted. Derived: 1 if any typology flag = 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 0 = close case; 1 = file SAR to FIU-IND under PMLA.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typology_structuring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Deliberately breaks large sums into amounts just below INR 10L Cash Transaction Report threshold [PMLA Rule 3]. E.g. drug proceeds split into 6 deposits of 8-9L instead of one 50L deposit.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 txn_count, low std_txn_amount (consistent sizing), avg_txn_amount 8-9.9L, low burst_score (spread over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typology_rapid_movement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Funds arrive in account and exit within hours. Account = transit point in layering. Common in hawala and online gambling proceeds [FATF-2005 §2.2].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fund_exit_ratio &gt; 0.85, time_to_first_outbound_minutes &lt; 150, high burst_score, low account_age_days.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typology_funnel_account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Many victims send money to one aggregation account which wires it to criminal. Used in romance scams, UPI fraud, pig-butchering [FATF-2005 §4.1].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incoming_sources_count &gt; 10, few outbound counterparties, moderate fund_exit_ratio.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typology_trade_based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Funds moved through over/under-invoiced trade transactions. Giveaway: round-number amounts + FATF-listed counterparty countries [FATF-TBML §2.2].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high_risk_country_flag = 1, round-number amounts (multiples of 5L/10L), high kyc_risk_score.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typology_shell_company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Corporate entity with no real business used to receive/send funds while obscuring beneficial owner [FATF-SHELL §3.1].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customer_type=corporate, low counterparty_diversity_score despite high total_txn_amount, high alert_count.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typology_round_tripping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Funds exit and return via different route within 72h. Used to make ML proceeds appear as legitimate foreign investment. Common in Mauritius/Cayman routing [FATF-SHELL §4.2].</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fund_exit_ratio near 1.0, outbound and inbound amounts closely matching, international_flag=1, mature account.</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4.  Data Problems Found and Fixed  (Step 03A)</w:t>
      </w:r>
    </w:p>
    <w:p>
      <w:pPr>
        <w:spacing w:after="140"/>
      </w:pPr>
      <w:r>
        <w:rPr>
          <w:rFonts w:ascii="Arial" w:cs="Arial" w:eastAsia="Arial" w:hAnsi="Arial"/>
          <w:b w:val="false"/>
          <w:bCs w:val="false"/>
          <w:color w:val="333333"/>
          <w:sz w:val="20"/>
          <w:szCs w:val="20"/>
        </w:rPr>
        <w:t xml:space="preserve">The original aggregated data had five structural problems, all of which would cause a trained model to be unreliable. Four were fixed; one is documented as a known limitation.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 Found</w:t>
            </w:r>
          </w:p>
        </w:tc>
        <w:tc>
          <w:tcPr>
            <w:tcW w:type="dxa" w:w="3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Why It Matters</w:t>
            </w:r>
          </w:p>
        </w:tc>
        <w:tc>
          <w:tcPr>
            <w:tcW w:type="dxa" w:w="4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 Applied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 rate = 95% (9,500 SAR / 500 non-SAR)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Model trained on this predicts SAR=1 for everything and achieves 95% accuracy while being completely useless. Real alerted-case SAR rates are 30-70% [FIU-IND].</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Stratified downsample: SAR from 9,500 → 4,750 (preserving typology proportions). SMOTE non-SAR: 500 → 3,250 [Chawla et al. 2002]. Final: 4,750 + 3,250 = 8,000 rows, SAR rate = 0.594.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Zero multi-label overlap (every SAR case has exactly 1 typology)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Unrealistic. FATF documents that AML schemes routinely combine typologies [FATF-2005]. Model never sees co-occurring patterns.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Injected second typology into 1,293 SAR cases (13.6%) based on FATF-documented co-occurrence pairs: structuring+rapid [§2.4], shell+TBML [FATF-SHELL §3.1], funnel+rapid [§4.1], round-trip+shell [§4.2]. Only injected where feature values were already compatible.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Perfect feature-label separation — no grey zone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AML data has noisy overlap. Legitimate high-volume businesses look suspicious; some genuine SAR cases have weak signals.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Calibrated noise: 5% std Gaussian on 11 continuous features. Weakened signals in 3% of SAR cases (grey zone). Strengthened 5% of non-SAR cases (unusual-but-legitimate).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11 features with skew &gt; 1.0 (worst: time_to_first_outbound = 3.50)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Extreme skew makes tree split points inefficient — many splits wasted in a compressed range of common values.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Amount features (5): cube-root transform (cbrt). Better than log1p for wide bimodal distributions. Count/time features (6): log1p. Bounded [0,1] features and alert_count NOT transformed.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and velocity_score leakage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alerts.csv generated knowing typology — alert_count partially proxies the label. velocity_score pre-computed knowing transaction patterns.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Acknowledged and documented. Not removed — they are legitimate AML signals that would be available in production. But model evaluation must account for potentially inflated performance from these 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SMOTE interpolates binary columns as floats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SMOTE treats all features as continuous — produces values like pep_flag=0.73 for synthetic non-SAR rows.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Post-SMOTE: all binary feature columns (pep_flag, international_flag, hr_country_flag, historical_sar_flag) rounded to nearest int and clipped to [0,1].</w:t>
            </w:r>
          </w:p>
        </w:tc>
      </w:tr>
    </w:tbl>
    <w:p>
      <w:pPr>
        <w:spacing w:after="80"/>
      </w:pPr>
      <w:r>
        <w:t xml:space="preserve"/>
      </w:r>
    </w:p>
    <w:p>
      <w:pPr>
        <w:pStyle w:val="Heading2"/>
      </w:pPr>
      <w:r>
        <w:rPr>
          <w:rFonts w:ascii="Arial" w:cs="Arial" w:eastAsia="Arial" w:hAnsi="Arial"/>
          <w:b/>
          <w:bCs/>
          <w:color w:val="2E75B6"/>
          <w:sz w:val="26"/>
          <w:szCs w:val="26"/>
        </w:rPr>
        <w:t xml:space="preserve">4.1  Skew correction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Skew Before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Skew After</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Why this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total_txn_amount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1.897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0.573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Wide bimodal range (retail vs corporate). cbrt handles outliers more gently than log1p.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avg_txn_amount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1.417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0.778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Same — amount feature with multi-order-of-magnitude range.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std_txn_amount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1.790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0.771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max_txn_amount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1.818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0.797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min_txn_amount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0.739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time_to_first_outbound_minutes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3.495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-0.577</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Non-negative, right-skewed count/time. log1p standard for this type.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1.808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0.461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 count — log1p appropriate.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account_age_days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1.694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-0.604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Days count — log1p appropriate. Regulatory meaning preserved.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1.576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0.843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 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1.353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0.776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Rate (txns/month) — log1p appropriate.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distinct_counterparties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0.145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 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fund_exit_ratio — NOT transformed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−1.296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Bounded [0,1]. Transformation distorts meaningful scale.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kyc_risk_score — NOT transformed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−1.209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Bounded [0,1]. Same reason.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 NOT transformed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0.294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Skew &lt; 1.0; also has direct regulatory meaning [PMLA].</w:t>
            </w:r>
          </w:p>
        </w:tc>
      </w:tr>
    </w:tbl>
    <w:p>
      <w:pPr>
        <w:spacing w:after="80"/>
      </w:pPr>
      <w:r>
        <w:t xml:space="preserve"/>
      </w:r>
    </w:p>
    <w:p>
      <w:pPr>
        <w:pStyle w:val="Heading2"/>
      </w:pPr>
      <w:r>
        <w:rPr>
          <w:rFonts w:ascii="Arial" w:cs="Arial" w:eastAsia="Arial" w:hAnsi="Arial"/>
          <w:b/>
          <w:bCs/>
          <w:color w:val="2E75B6"/>
          <w:sz w:val="26"/>
          <w:szCs w:val="26"/>
        </w:rPr>
        <w:t xml:space="preserve">4.2  Result — data_fixed.csv (8,000 ×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6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 rows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8,000  (4,750 SAR=1  +  3,250 SAR=0)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 rate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0.594  (was 0.950)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Multi-label SAR cases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646  (13.6% of SAR cases — was 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typology_structuring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1,000 positive cases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typology_rapid_movement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1,400 positive cases (includes injected overlap)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typology_funnel_account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750 positive cases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typology_trade_based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884 positive cases (includes injected overlap)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typology_shell_company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862 positive cases (includes injected overlap)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typology_round_tripping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500 positive cases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Nulls / Infs / Duplicate cols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 / 0 / none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Columns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38  (20 original + 5 cbrt + 6 log + 7 labels)</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5.  Feature Engineering  (Step 04)  —  27 New Features</w:t>
      </w:r>
    </w:p>
    <w:p>
      <w:pPr>
        <w:spacing w:after="140"/>
      </w:pPr>
      <w:r>
        <w:rPr>
          <w:rFonts w:ascii="Arial" w:cs="Arial" w:eastAsia="Arial" w:hAnsi="Arial"/>
          <w:b w:val="false"/>
          <w:bCs w:val="false"/>
          <w:color w:val="333333"/>
          <w:sz w:val="20"/>
          <w:szCs w:val="20"/>
        </w:rPr>
        <w:t xml:space="preserve">Feature engineering adds 27 new columns. The goal is not more data — the 8,000 rows are fixed. The goal is richer representations: the model can split on burst_x_exit (joint rapid-movement signal) rather than needing to discover the interaction itself from only 8,000 rows.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3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Formula</w:t>
            </w:r>
          </w:p>
        </w:tc>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AML Logic &amp; Reference</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A — Ratio Features (5)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txn_amount_cv</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std_txn_amount / avg_txn_amount  [clipped 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 CV (consistent sizing) = structuring. High CV = layering. [FATF-2005 §2.4]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max_to_avg_txn_ratio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max_txn_amount / avg_txn_amount  [clipped 0-50]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One outlier payment among normal activity = TBML over-invoicing. [FATF-TBML §2.2]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alert_density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 (account_age_days / 30)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Alerts per month — normalises raw count by account age. [RBI-KYC S.38]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counterparty_to_txn_ratio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distinct_counterparties / txn_count  [clipped 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Near 1.0 = new counterparty every transaction = smurfing. [FATF-2005 §3.1]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incoming_to_outgoing_ratio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incoming_sources_count / distinct_counterparties  [clipped 0-10]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Many in / few out = funnel account shape. [FATF-2005 §4.1]</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B — Interaction Terms (6)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burst_x_exit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 x fund_exit_ratio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Core rapid movement signal — high burst AND high exit simultaneously. [FATF-2005 §2.2, §4.1]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kyc_x_alert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kyc_risk_score x log1p(alert_count)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 risk confirmed by active rule firing. [FATF-RECS R.10]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pep_x_intl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pep_flag x international_counterparty_flag  [binary 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only when BOTH are simultaneously true. Highest-risk combination in AML regulation. [FATF-RECS R.12]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hr_country_x_exit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high_risk_country_flag x fund_exit_ratio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jurisdiction exposure + rapid fund exit. [FATF-TBML §3.2, FATF-SHELL §4.2]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diversity_x_sources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counterparty_diversity_score x log1p(incoming_sources_count)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Wide spread AND many sources = funnel with broad input fan. [FATF-2005 §4.1]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sar_history_x_kyc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historical_sar_flag x kyc_risk_score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Recidivist with elevated current KYC profile. [PMLA S.12]</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C — Speed / Urgency Scores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speed_exit_score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 fund_exit_ratio / (time_to_first_outbound + 1) x 10000 )</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Exit volume x speed in one compressed score. log1p applied because raw ratio spans many orders of magnitude.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velocity_per_age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 / log1p(account_age_days)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Monthly txn rate normalised by maturity — new account with high velocity much more suspicious. [RBI-KYC S.38]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burst_per_age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 / log1p(account_age_days)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 intensity normalised by maturity — same logic. [RBI-KYC S.38]</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D — Composite Risk Scores (3) — weights from correlation analysis (see §6)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behavioral_risk_score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0.45 x fund_exit_ratio + 0.40 x burst_score + 0.15 x txn_velocity_norm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Weights from Pearson corr(feature, sar_worthy) on original 10,000-row data: 0.654, 0.558, 0.205. Normalised and rounded.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network_risk_score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0.40 x counterparty_diversity + 0.35 x international_flag + 0.25 x hr_country_flag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Weights from correlations: 0.415, 0.288, 0.194. [FATF-RECS R.19]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overall_suspicion_score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0.35 x behavioral + 0.30 x kyc_risk + 0.20 x network + 0.15 x alert_density_norm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Weights from correlations of composites with sar_worthy: 0.871, 0.646, 0.415, 0.364. r=0.945 with sar_worthy.</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E — Ordinal Tier Features (6) — see §7 for full threshold sources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account_age_tier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pd.cut(account_age_days, [0,90,365,730,inf]) → 0,1,2,3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0=new(&lt;90d), 1=young, 2=established, 3=mature. [RBI-KYC S.38]: 90-day mandatory enhanced monitoring.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alert_tier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pd.cut(alert_count, [-1,0,2,5,10,inf]) → 0,1,2,3,4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0=none, 1=low, 2=moderate, 3=high, 4=critical(&gt;10). Domain convention.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velocity_tier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pd.cut(txn_velocity, [0,2,5,10,inf]) → 0,1,2,3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0=savings-range, 1=active, 2=heavy business, 3=automated(&gt;10/mo).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kyc_risk_tier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pd.cut(kyc_risk_score, [0,0.40,0.70,inf]) → 0,1,2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0=standard, 1=enhanced monitoring, 2=EDD mandatory. [PMLA S.12A, RBI-KYC S.38]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burst_tier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pd.cut(burst_score, [0,0.30,0.60,0.90,inf]) → 0,1,2,3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0=low, 1=moderate, 2=high, 3=extreme(&gt;0.90)=automated movement.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fund_exit_tier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pd.cut(fund_exit_ratio, [0,0.50,0.80,0.95,inf]) → 0,1,2,3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0=accumulating, 1=balanced, 2=mostly exiting, 3=transit(&gt;0.95)=pure pass-through.</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F — Typology Count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typology_count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SUM(all 6 typology flag columns) per row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0=non-SAR, 1=single typology, 2=co-occurring typologies (injected in Step A). [FATF-2005]</w:t>
            </w:r>
          </w:p>
        </w:tc>
      </w:tr>
      <w:tr>
        <w:tc>
          <w:tcPr>
            <w:tcW w:type="dxa" w:w="9360"/>
            <w:gridSpan w:val="3"/>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Group G — Flag Aggregations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binary_risk_flag_count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SUM(pep_flag, international_flag, hr_country_flag, historical_sar_flag)  [0-4]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Multiple simultaneous flags compound risk. [FATF-RECS R.10, R.12, R.19]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high_risk_combined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IF pep=1 OR hr_country=1 OR historical_sar=1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Any one of the three most severe flags = EDD trigger. [PMLA S.12A]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all_flags_set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IF binary_risk_flag_count = 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All four simultaneously true — near-certain SAR territory.</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6.  Composite Score Weight Derivation</w:t>
      </w:r>
    </w:p>
    <w:p>
      <w:pPr>
        <w:spacing w:after="140"/>
      </w:pPr>
      <w:r>
        <w:rPr>
          <w:rFonts w:ascii="Arial" w:cs="Arial" w:eastAsia="Arial" w:hAnsi="Arial"/>
          <w:b w:val="false"/>
          <w:bCs w:val="false"/>
          <w:color w:val="333333"/>
          <w:sz w:val="20"/>
          <w:szCs w:val="20"/>
        </w:rPr>
        <w:t xml:space="preserve">The weights in behavioral_risk_score, network_risk_score, and overall_suspicion_score are NOT from any research paper. They were derived as follows:</w:t>
      </w:r>
    </w:p>
    <w:p>
      <w:pPr>
        <w:spacing w:after="80"/>
      </w:pPr>
      <w:r>
        <w:t xml:space="preserve"/>
      </w:r>
    </w:p>
    <w:p>
      <w:pPr>
        <w:pStyle w:val="ListParagraph"/>
        <w:numPr>
          <w:ilvl w:val="0"/>
          <w:numId w:val="2"/>
        </w:numPr>
        <w:spacing w:after="80"/>
      </w:pPr>
      <w:r>
        <w:rPr>
          <w:rFonts w:ascii="Arial" w:cs="Arial" w:eastAsia="Arial" w:hAnsi="Arial"/>
          <w:b w:val="false"/>
          <w:bCs w:val="false"/>
          <w:color w:val="333333"/>
          <w:sz w:val="20"/>
          <w:szCs w:val="20"/>
        </w:rPr>
        <w:t xml:space="preserve">Step 1: Compute Pearson correlation of each candidate feature with sar_worthy on the ORIGINAL 10,000-row dataset (pre-noise, pre-SMOTE) to avoid circular dependency.</w:t>
      </w:r>
    </w:p>
    <w:p>
      <w:pPr>
        <w:pStyle w:val="ListParagraph"/>
        <w:numPr>
          <w:ilvl w:val="0"/>
          <w:numId w:val="2"/>
        </w:numPr>
        <w:spacing w:after="80"/>
      </w:pPr>
      <w:r>
        <w:rPr>
          <w:rFonts w:ascii="Arial" w:cs="Arial" w:eastAsia="Arial" w:hAnsi="Arial"/>
          <w:b w:val="false"/>
          <w:bCs w:val="false"/>
          <w:color w:val="333333"/>
          <w:sz w:val="20"/>
          <w:szCs w:val="20"/>
        </w:rPr>
        <w:t xml:space="preserve">Step 2: For each composite, sum the correlations of its constituent features.</w:t>
      </w:r>
    </w:p>
    <w:p>
      <w:pPr>
        <w:pStyle w:val="ListParagraph"/>
        <w:numPr>
          <w:ilvl w:val="0"/>
          <w:numId w:val="2"/>
        </w:numPr>
        <w:spacing w:after="80"/>
      </w:pPr>
      <w:r>
        <w:rPr>
          <w:rFonts w:ascii="Arial" w:cs="Arial" w:eastAsia="Arial" w:hAnsi="Arial"/>
          <w:b w:val="false"/>
          <w:bCs w:val="false"/>
          <w:color w:val="333333"/>
          <w:sz w:val="20"/>
          <w:szCs w:val="20"/>
        </w:rPr>
        <w:t xml:space="preserve">Step 3: Each feature's weight = its correlation / that sum.</w:t>
      </w:r>
    </w:p>
    <w:p>
      <w:pPr>
        <w:pStyle w:val="ListParagraph"/>
        <w:numPr>
          <w:ilvl w:val="0"/>
          <w:numId w:val="2"/>
        </w:numPr>
        <w:spacing w:after="80"/>
      </w:pPr>
      <w:r>
        <w:rPr>
          <w:rFonts w:ascii="Arial" w:cs="Arial" w:eastAsia="Arial" w:hAnsi="Arial"/>
          <w:b w:val="false"/>
          <w:bCs w:val="false"/>
          <w:color w:val="333333"/>
          <w:sz w:val="20"/>
          <w:szCs w:val="20"/>
        </w:rPr>
        <w:t xml:space="preserve">Step 4: Round to 2 d.p. while preserving the sum-to-1.00 constraint.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Composite Score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 with sar_worthy</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Weight derivation</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behavioral_risk_score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fund_exit_ratio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0.654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0.654 / (0.654+0.558+0.205) = 0.462 → rounded to 0.45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0.558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0.558 / 1.417 = 0.394 → rounded to 0.40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 (norm)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0.205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0.205 / 1.417 = 0.145 → rounded to 0.15. Sum: 0.45+0.40+0.15=1.00</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network_risk_score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counterparty_diversity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0.415 / (0.415+0.288+0.194) = 0.463 → rounded to 0.40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international_flag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0.288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0.288 / 0.897 = 0.321 → rounded to 0.35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hr_country_flag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0.194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0.194 / 0.897 = 0.216 → rounded to 0.25. Sum: 0.40+0.35+0.25=1.00</w:t>
            </w:r>
          </w:p>
        </w:tc>
      </w:tr>
      <w:tr>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overall_suspicion_score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behavioral_risk_score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0.871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0.871 / (0.871+0.646+0.415+0.364) = 0.379 → rounded to 0.35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0.646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0.646 / 2.296 = 0.281 → rounded to 0.30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network_risk_score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0.415 / 2.296 = 0.181 → rounded to 0.20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alert_density (norm)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0.364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0.364 / 2.296 = 0.159 → rounded to 0.15. Sum: 0.35+0.30+0.20+0.15=1.00</w:t>
            </w:r>
          </w:p>
        </w:tc>
      </w:tr>
    </w:tbl>
    <w:p>
      <w:pPr>
        <w:spacing w:after="80"/>
      </w:pPr>
      <w:r>
        <w:t xml:space="preserve"/>
      </w:r>
    </w:p>
    <w:p>
      <w:pPr>
        <w:spacing w:after="120"/>
      </w:pPr>
      <w:r>
        <w:rPr>
          <w:rFonts w:ascii="Arial" w:cs="Arial" w:eastAsia="Arial" w:hAnsi="Arial"/>
          <w:color w:val="8B0000"/>
          <w:sz w:val="18"/>
          <w:szCs w:val="18"/>
        </w:rPr>
        <w:t xml:space="preserve">LIMITATION: These weights are dataset-specific. They would differ on a different dataset or after resampling. They are a principled, data-grounded alternative to equal weighting but should not be cited as coming from any external authority.</w:t>
      </w:r>
    </w:p>
    <w:p>
      <w:pPr>
        <w:spacing w:after="160"/>
      </w:pPr>
      <w:r>
        <w:t xml:space="preserve"/>
      </w:r>
    </w:p>
    <w:p>
      <w:r>
        <w:br w:type="page"/>
      </w:r>
    </w:p>
    <w:p>
      <w:pPr>
        <w:pStyle w:val="Heading1"/>
      </w:pPr>
      <w:r>
        <w:rPr>
          <w:rFonts w:ascii="Arial" w:cs="Arial" w:eastAsia="Arial" w:hAnsi="Arial"/>
          <w:b/>
          <w:bCs/>
          <w:color w:val="1F4E79"/>
          <w:sz w:val="32"/>
          <w:szCs w:val="32"/>
        </w:rPr>
        <w:t xml:space="preserve">7.  Every Threshold — Source and Justification</w:t>
      </w:r>
    </w:p>
    <w:p>
      <w:pPr>
        <w:spacing w:after="140"/>
      </w:pPr>
      <w:r>
        <w:rPr>
          <w:rFonts w:ascii="Arial" w:cs="Arial" w:eastAsia="Arial" w:hAnsi="Arial"/>
          <w:b w:val="false"/>
          <w:bCs w:val="false"/>
          <w:color w:val="333333"/>
          <w:sz w:val="20"/>
          <w:szCs w:val="20"/>
        </w:rPr>
        <w:t xml:space="preserve">Every numeric threshold in the pipeline is listed below with its actual source. Where a threshold does not have a regulatory or peer-reviewed citation, that is explicitly stated.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Threshold</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the source says</w:t>
            </w:r>
          </w:p>
        </w:tc>
      </w:tr>
      <w:tr>
        <w:tc>
          <w:tcPr>
            <w:tcW w:type="dxa" w:w="9360"/>
            <w:gridSpan w:val="4"/>
            <w:tcBorders>
              <w:top w:val="single" w:color="1F4E79" w:sz="1"/>
              <w:left w:val="single" w:color="1F4E79" w:sz="1"/>
              <w:bottom w:val="single" w:color="1F4E79" w:sz="1"/>
              <w:right w:val="single" w:color="1F4E79"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Regulatory Thresholds — Verified Citations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INR 10 Lakh CTR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10,00,000 INR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PMLA Rule 3 [12]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Banks must file Cash Transaction Report for cash transactions &gt;= 10L. Structuring = deliberately staying below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90-day new account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&lt; 90 days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RBI-KYC S.38 [11]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Enhanced transaction monitoring mandatory for first 90 days after account opening.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 EDD boundary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 &gt; 0.70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PMLA S.12A [12], RBI-KYC S.38 [11]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Enhanced Due Diligence mandatory for high-risk customers. 0.70 maps to this regulatory classification 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Black list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IR, KP, MM, YE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Call for Action [1]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Highest AML risk. Banks must apply countermeasures, may refuse transactions.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Grey list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AE, PK, NG, VN, ET, SD, SY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Increased Monitoring [1]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Strategic deficiencies under remediation. Enhanced scrutiny required. List changes quarterly.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 conversion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FIU-IND Annual Report 2022-23 [13]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Fraction of alerted cases that become SARs (all-transaction level). Alerted-case datasets justifiably have higher rates (30-70%).</w:t>
            </w:r>
          </w:p>
        </w:tc>
      </w:tr>
      <w:tr>
        <w:tc>
          <w:tcPr>
            <w:tcW w:type="dxa" w:w="9360"/>
            <w:gridSpan w:val="4"/>
            <w:tcBorders>
              <w:top w:val="single" w:color="1F4E79" w:sz="1"/>
              <w:left w:val="single" w:color="1F4E79" w:sz="1"/>
              <w:bottom w:val="single" w:color="1F4E79" w:sz="1"/>
              <w:right w:val="single" w:color="1F4E79" w:sz="1"/>
            </w:tcBorders>
            <w:shd w:fill="FFF3CD" w:val="clear"/>
            <w:tcMar>
              <w:top w:type="dxa" w:w="60"/>
              <w:left w:type="dxa" w:w="100"/>
              <w:bottom w:type="dxa" w:w="60"/>
              <w:right w:type="dxa" w:w="100"/>
            </w:tcMar>
          </w:tcPr>
          <w:p>
            <w:r>
              <w:rPr>
                <w:rFonts w:ascii="Arial" w:cs="Arial" w:eastAsia="Arial" w:hAnsi="Arial"/>
                <w:b/>
                <w:bCs/>
                <w:color w:val="7B4F00"/>
                <w:sz w:val="18"/>
                <w:szCs w:val="18"/>
              </w:rPr>
              <w:t xml:space="preserve">Domain Conventions — No Specific Regulatory Citation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velocity_score &gt; 0.75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Statistical convention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75th percentile of velocity_score distribution. Upper quartile = anomaly detection standard. No regulatory source — dataset-specific.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 tier: extreme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&gt; 0.90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Data-derived quartile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Top ~12% of burst_score values. Represents near-total automated transaction activity.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 transit 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&gt; 0.95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Domain convention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 retains &lt;5% of throughput — no legitimate retail/SME explanation. Not from a specific regulation.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tiers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0,2,5,10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Industry convention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Escalation thresholds from AML system design practice. No specific regulatory citation.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Round-trip window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72 hours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Design decision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Reasonable operational window. Real investigations use 24h to 30 days. No specific research paper.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Composite weights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0.45/0.40/0.15 etc.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Correlation analysis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Correlation of each feature with sar_worthy on original 10,000-row data, normalised. Dataset-specific — not from any paper.</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8.  Honest Limitations of This Dataset</w:t>
      </w:r>
    </w:p>
    <w:p>
      <w:pPr>
        <w:spacing w:after="140"/>
      </w:pPr>
      <w:r>
        <w:rPr>
          <w:rFonts w:ascii="Arial" w:cs="Arial" w:eastAsia="Arial" w:hAnsi="Arial"/>
          <w:b w:val="false"/>
          <w:bCs w:val="false"/>
          <w:color w:val="333333"/>
          <w:sz w:val="20"/>
          <w:szCs w:val="20"/>
        </w:rPr>
        <w:t xml:space="preserve">This section documents what is wrong with the data's realism. These are expected characteristics of a synthetic hackathon dataset. They must be acknowledged when presenting model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34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This dataset</w:t>
            </w:r>
          </w:p>
        </w:tc>
        <w:tc>
          <w:tcPr>
            <w:tcW w:type="dxa" w:w="34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Real AML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 conversion rate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59% after fixing (was 95%)</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3-15% all-transaction level [FIU-IND]. 30-70% for alerted-case datasets. Our 59% is reasonable.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Multi-label overlap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13.6% after injection (was 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cases routinely show 2-4 typologies simultaneously.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Grey-zone cases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 SAR cases artificially weakened, 5% non-SAR strengthened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data has massive continuous overlap between suspicious and legitimate activity.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leakage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Alerts generated knowing typology — partial proxy for label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TMS fires independently. Some genuine SARs have 0 alerts; some false positives have 15+.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velocity_score leakage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Pre-computed knowing transaction patterns — burst_score is semi-circular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 production, velocity_score comes from a separate anomaly system independent of the SAR decision.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Case definition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10,000 SDV-synthesised rows — not derived by aggregating raw CSVs. No case_id column.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cases: one account's transactions in a rolling lookback window after an alert fires, traceable to actual transaction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 quality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Zero nulls, no corrupted records, no currency mismatches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Real banking data has missing counterparty info, duplicate txn IDs, currency conversion errors, corrupted records.</w:t>
            </w:r>
          </w:p>
        </w:tc>
      </w:tr>
    </w:tbl>
    <w:p>
      <w:pPr>
        <w:spacing w:after="80"/>
      </w:pPr>
      <w:r>
        <w:t xml:space="preserve"/>
      </w:r>
    </w:p>
    <w:p>
      <w:pPr>
        <w:spacing w:after="140"/>
      </w:pPr>
      <w:r>
        <w:rPr>
          <w:rFonts w:ascii="Arial" w:cs="Arial" w:eastAsia="Arial" w:hAnsi="Arial"/>
          <w:b w:val="false"/>
          <w:bCs w:val="false"/>
          <w:color w:val="555555"/>
          <w:sz w:val="20"/>
          <w:szCs w:val="20"/>
        </w:rPr>
        <w:t xml:space="preserve">Correct framing for presentation: This proof-of-concept demonstrates the architecture and pipeline. Production deployment requires training on real labelled AML cases with proper handling of false positives, realistic class imbalance, and genuine grey-zone ambiguity.</w:t>
      </w:r>
    </w:p>
    <w:p>
      <w:pPr>
        <w:spacing w:after="160"/>
      </w:pPr>
      <w:r>
        <w:t xml:space="preserve"/>
      </w:r>
    </w:p>
    <w:p>
      <w:r>
        <w:br w:type="page"/>
      </w:r>
    </w:p>
    <w:p>
      <w:pPr>
        <w:pStyle w:val="Heading1"/>
      </w:pPr>
      <w:r>
        <w:rPr>
          <w:rFonts w:ascii="Arial" w:cs="Arial" w:eastAsia="Arial" w:hAnsi="Arial"/>
          <w:b/>
          <w:bCs/>
          <w:color w:val="1F4E79"/>
          <w:sz w:val="32"/>
          <w:szCs w:val="32"/>
        </w:rPr>
        <w:t xml:space="preserve">9.  Complete Column Reference — data_engineered.csv  (65 columns)</w:t>
      </w:r>
    </w:p>
    <w:p>
      <w:pPr>
        <w:spacing w:after="140"/>
      </w:pPr>
      <w:r>
        <w:rPr>
          <w:rFonts w:ascii="Arial" w:cs="Arial" w:eastAsia="Arial" w:hAnsi="Arial"/>
          <w:b w:val="false"/>
          <w:bCs w:val="false"/>
          <w:color w:val="333333"/>
          <w:sz w:val="20"/>
          <w:szCs w:val="20"/>
        </w:rPr>
        <w:t xml:space="preserve">Every column in the final model-ready file. Use this as reference when interpreting model outputs, debugging predictions, or explaining the system to stakeholders.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200"/>
        <w:gridCol w:w="4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Column</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Group</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Sum of all transaction amounts in the case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avg_txn_amount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Mean transaction amount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Standard deviation of amounts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 number of transactions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Largest single transaction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min_txn_amount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Smallest single transaction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Proportion of high-velocity transactions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time_to_first_outbound_minutes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Minutes from first inbound to first outbound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Proportion of money that leaves the account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Monthly transaction rate normalised by age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distinct_counterparties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Unique counterparty accounts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counterparty_diversity_score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Inverse of counterparty concentration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 sources sending funds 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international_counterparty_flag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Any foreign counterparty present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pep_flag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Politically Exposed Person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high_risk_country_flag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FATF grey/black list country involvement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Composite KYC risk score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account_age_days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Days from account opening to reference date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 rule-triggered alerts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historical_sar_flag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Original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Prior SAR filed against customer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total_txn_amount_cbrt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cbrt(total_txn_amount) — skew 1.90→0.57</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avg_txn_amount_cbrt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cbrt(avg_txn_amount) — skew 1.42→0.78</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std_txn_amount_cbrt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cbrt(std_txn_amount) — skew 1.79→0.77</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max_txn_amount_cbrt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cbrt(max_txn_amount) — skew 1.82→0.80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min_txn_amount_cbrt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cbrt(min_txn_amount) — skew 1.57→0.74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time_to_first_outbound_minutes_log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log1p(time_to_first_outbound) — skew 3.50→-0.58</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txn_count_log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log1p(txn_count) — skew 1.81→0.46</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account_age_days_log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log1p(account_age_days) — skew 1.69→-0.60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incoming_sources_count_log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log1p(incoming_sources_count) — skew 1.58→0.84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log1p(txn_velocity) — skew 1.35→0.78</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distinct_counterparties_log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Transform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log1p(distinct_counterparties) — skew 1.06→0.15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txn_amount_cv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std/avg — coefficient of variation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max_to_avg_txn_ratio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max/avg — spike ratio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alert_density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alerts per 30 days of account life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counterparty_to_txn_ratio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distinct_counterparties / txn_count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incoming_to_outgoing_ratio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incoming_sources / distinct_counterparties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burst_x_exit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 x fund_exit_ratio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kyc_x_alert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kyc_risk_score x log1p(alert_count)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pep_x_intl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pep_flag x international_flag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hr_country_x_exit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hr_country_flag x fund_exit_ratio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diversity_x_sources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diversity_score x log1p(incoming_sources)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sar_history_x_kyc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historical_sar_flag x kyc_risk_score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speed_exit_score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log1p(fund_exit_ratio / (t2fo+1) x 10000)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velocity_per_age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txn_velocity / log1p(account_age_days)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burst_per_age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burst_score / log1p(account_age_days)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behavioral_risk_score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0.45*exit + 0.40*burst + 0.15*velocity_norm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network_risk_score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0.40*diversity + 0.35*intl + 0.25*hr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overall_suspicion_score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Weighted combo of all dimensions. r=0.945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account_age_tier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0=new(&lt;90d), 1=young, 2=established, 3=mature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0=none to 4=critical(&gt;10 alerts)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velocity_tier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0=low(&lt;2/mo) to 3=very high(&gt;10/mo)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kyc_risk_tier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0=std, 1=enhanced monitoring, 2=EDD mandatory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burst_tier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0=low to 3=extreme(&gt;0.90)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fund_exit_tier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Ordinal 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0=accumulating to 3=transit(&gt;0.95)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 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Number of active typology flags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binary_risk_flag_count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Integer 0-4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Count of binary risk flags set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high_risk_combined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PEP OR hr_country OR historical_SAR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all_flags_set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Engineered-G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All 4 binary flags simultaneously true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sar_worthy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TARGET — 1=SAR warranted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typology_structuring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Structuring/smurfing pattern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typology_rapid_movement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Rapid fund movement/transit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typology_funnel_account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Funnel/aggregation account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typology_trade_based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Trade-Based Money Laundering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typology_shell_company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Shell company pattern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typology_round_tripping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Binary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Circular fund flow</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10.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Shape</w:t>
            </w:r>
          </w:p>
        </w:tc>
        <w:tc>
          <w:tcPr>
            <w:tcW w:type="dxa" w:w="4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it 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hackohire_aggregarted_data.csv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10,000 x 27</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Starting file — aggregated from 4 raw CSVs, then SDV-synthesised to 10,000 rows. 20 features + 7 labels. SAR rate 0.95. Zero multi-label overlap.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data_fixed.csv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8,000 x 38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After all fixes: multi-label injection, noise, balanced classes (SAR rate 0.594), cbrt/log transforms. 20 original + 11 transform + 7 label cols.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data_engineered.csv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8,000 x 65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After feature engineering: +27 engineered features. 20 orig + 5 cbrt + 6 log + 27 engineered + 7 labels. Ready for model training.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fix_data.py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Steps A-D: multi-label injection, noise, downsample+SMOTE, transforms. Produces data_fixed.csv.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validate_seed.py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7-section automated validation on data_fixed.csv. Hard gate before engineering.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7"/>
                <w:szCs w:val="17"/>
              </w:rPr>
              <w:t xml:space="preserve">feature_engineering.py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Groups A-G: 27 engineered features. Produces data_engineered.csv.</w:t>
            </w:r>
          </w:p>
        </w:tc>
      </w:tr>
    </w:tbl>
    <w:p>
      <w:pPr>
        <w:spacing w:after="160"/>
      </w:pPr>
      <w:r>
        <w:t xml:space="preserve"/>
      </w:r>
    </w:p>
    <w:p>
      <w:pPr>
        <w:pStyle w:val="Heading1"/>
      </w:pPr>
      <w:r>
        <w:rPr>
          <w:rFonts w:ascii="Arial" w:cs="Arial" w:eastAsia="Arial" w:hAnsi="Arial"/>
          <w:b/>
          <w:bCs/>
          <w:color w:val="1F4E79"/>
          <w:sz w:val="32"/>
          <w:szCs w:val="32"/>
        </w:rPr>
        <w:t xml:space="preserve">11.  What Is Next — Step 05: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Decision</w:t>
            </w:r>
          </w:p>
        </w:tc>
        <w:tc>
          <w:tcPr>
            <w:tcW w:type="dxa" w:w="6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Algorithm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XGBoost MultiOutputClassifier — one binary XGBClassifier per label (7 total).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Features to use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Use cbrt/log transform columns, not raw originals. Both present so model can choose. Prefer engineered features where corr with label is higher.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Train/val/test split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70% / 15% / 15%. Stratified on sar_worthy to preserve 0.594 class ratio across all splits.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Class weighting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Set scale_pos_weight on sar_worthy classifier even after SMOTE — additional reinforcement for minority class.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Evaluation metrics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Primary: macro F1 across all 7 labels. Secondary: Hamming loss. Targets: sar_worthy F1 &gt; 0.85, all typology F1 &gt; 0.75, Hamming loss &lt; 0.10.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Feature importance caveat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overall_suspicion_score (r=0.945) will likely be top feature. Expected and valid — not leakage. But alert_count importance should be interpreted cautiously due to synthetic generation leakage.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Expected inflated performance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 F1 reflects data cleanliness, not real-world performance. State this explicitly in any presentation.</w:t>
            </w:r>
          </w:p>
        </w:tc>
      </w:tr>
    </w:tbl>
    <w:p>
      <w:pPr>
        <w:spacing w:after="160"/>
      </w:pPr>
      <w:r>
        <w:t xml:space="preserve"/>
      </w:r>
    </w:p>
    <w:p>
      <w:r>
        <w:br w:type="page"/>
      </w:r>
    </w:p>
    <w:p>
      <w:pPr>
        <w:pStyle w:val="Heading1"/>
      </w:pPr>
      <w:r>
        <w:rPr>
          <w:rFonts w:ascii="Arial" w:cs="Arial" w:eastAsia="Arial" w:hAnsi="Arial"/>
          <w:b/>
          <w:bCs/>
          <w:color w:val="1F4E79"/>
          <w:sz w:val="32"/>
          <w:szCs w:val="32"/>
        </w:rPr>
        <w:t xml:space="preserve">12.  Verified References</w:t>
      </w:r>
    </w:p>
    <w:p>
      <w:pPr>
        <w:spacing w:after="140"/>
      </w:pPr>
      <w:r>
        <w:rPr>
          <w:rFonts w:ascii="Arial" w:cs="Arial" w:eastAsia="Arial" w:hAnsi="Arial"/>
          <w:b w:val="false"/>
          <w:bCs w:val="false"/>
          <w:color w:val="333333"/>
          <w:sz w:val="20"/>
          <w:szCs w:val="20"/>
        </w:rPr>
        <w:t xml:space="preserve">All references below are real, publicly accessible documents verified to exist and contain the claims attributed to them. No references have been fabricated.</w:t>
      </w:r>
    </w:p>
    <w:p>
      <w:pPr>
        <w:spacing w:after="80"/>
      </w:pPr>
      <w:r>
        <w:t xml:space="preserve"/>
      </w:r>
    </w:p>
    <w:p>
      <w:pPr>
        <w:pStyle w:val="Heading2"/>
      </w:pPr>
      <w:r>
        <w:rPr>
          <w:rFonts w:ascii="Arial" w:cs="Arial" w:eastAsia="Arial" w:hAnsi="Arial"/>
          <w:b/>
          <w:bCs/>
          <w:color w:val="2E75B6"/>
          <w:sz w:val="26"/>
          <w:szCs w:val="26"/>
        </w:rPr>
        <w:t xml:space="preserve">12.1  Regulatory and FATF Documents</w:t>
      </w:r>
    </w:p>
    <w:p>
      <w:pPr>
        <w:pStyle w:val="ListParagraph"/>
        <w:numPr>
          <w:ilvl w:val="0"/>
          <w:numId w:val="3"/>
        </w:numPr>
        <w:spacing w:after="80"/>
      </w:pPr>
      <w:r>
        <w:rPr>
          <w:rFonts w:ascii="Arial" w:cs="Arial" w:eastAsia="Arial" w:hAnsi="Arial"/>
          <w:b/>
          <w:bCs/>
          <w:color w:val="1F4E79"/>
          <w:sz w:val="18"/>
          <w:szCs w:val="18"/>
        </w:rPr>
        <w:t xml:space="preserve">[1]  </w:t>
      </w:r>
      <w:r>
        <w:rPr>
          <w:rFonts w:ascii="Arial" w:cs="Arial" w:eastAsia="Arial" w:hAnsi="Arial"/>
          <w:color w:val="333333"/>
          <w:sz w:val="18"/>
          <w:szCs w:val="18"/>
        </w:rPr>
        <w:t xml:space="preserve">FATF. (2004-2005). Money Laundering Typologies. Financial Action Task Force, OECD Paris. URL: https://www.fatf-gafi.org/content/dam/fatf-gafi/reports/2004_2005_ML_Typologies_ENG.pdf</w:t>
      </w:r>
    </w:p>
    <w:p>
      <w:pPr>
        <w:pStyle w:val="ListParagraph"/>
        <w:numPr>
          <w:ilvl w:val="0"/>
          <w:numId w:val="3"/>
        </w:numPr>
        <w:spacing w:after="80"/>
      </w:pPr>
      <w:r>
        <w:rPr>
          <w:rFonts w:ascii="Arial" w:cs="Arial" w:eastAsia="Arial" w:hAnsi="Arial"/>
          <w:b/>
          <w:bCs/>
          <w:color w:val="1F4E79"/>
          <w:sz w:val="18"/>
          <w:szCs w:val="18"/>
        </w:rPr>
        <w:t xml:space="preserve">[2]  </w:t>
      </w:r>
      <w:r>
        <w:rPr>
          <w:rFonts w:ascii="Arial" w:cs="Arial" w:eastAsia="Arial" w:hAnsi="Arial"/>
          <w:color w:val="333333"/>
          <w:sz w:val="18"/>
          <w:szCs w:val="18"/>
        </w:rPr>
        <w:t xml:space="preserve">FATF. (2006). Trade-Based Money Laundering. OECD Paris. URL: https://home.treasury.gov/system/files/246/Trade-based-ML-062006.pdf</w:t>
      </w:r>
    </w:p>
    <w:p>
      <w:pPr>
        <w:pStyle w:val="ListParagraph"/>
        <w:numPr>
          <w:ilvl w:val="0"/>
          <w:numId w:val="3"/>
        </w:numPr>
        <w:spacing w:after="80"/>
      </w:pPr>
      <w:r>
        <w:rPr>
          <w:rFonts w:ascii="Arial" w:cs="Arial" w:eastAsia="Arial" w:hAnsi="Arial"/>
          <w:b/>
          <w:bCs/>
          <w:color w:val="1F4E79"/>
          <w:sz w:val="18"/>
          <w:szCs w:val="18"/>
        </w:rPr>
        <w:t xml:space="preserve">[3]  </w:t>
      </w:r>
      <w:r>
        <w:rPr>
          <w:rFonts w:ascii="Arial" w:cs="Arial" w:eastAsia="Arial" w:hAnsi="Arial"/>
          <w:color w:val="333333"/>
          <w:sz w:val="18"/>
          <w:szCs w:val="18"/>
        </w:rPr>
        <w:t xml:space="preserve">FATF. (2006). The Misuse of Corporate Vehicles, Including Trust and Company Service Providers. OECD Paris. URL: https://www.fatf-gafi.org/en/publications/Methodsandtrends/Themisuseofcorporatevehiclesincludingtrustandcompanyserviceproviders.html</w:t>
      </w:r>
    </w:p>
    <w:p>
      <w:pPr>
        <w:pStyle w:val="ListParagraph"/>
        <w:numPr>
          <w:ilvl w:val="0"/>
          <w:numId w:val="3"/>
        </w:numPr>
        <w:spacing w:after="80"/>
      </w:pPr>
      <w:r>
        <w:rPr>
          <w:rFonts w:ascii="Arial" w:cs="Arial" w:eastAsia="Arial" w:hAnsi="Arial"/>
          <w:b/>
          <w:bCs/>
          <w:color w:val="1F4E79"/>
          <w:sz w:val="18"/>
          <w:szCs w:val="18"/>
        </w:rPr>
        <w:t xml:space="preserve">[4]  </w:t>
      </w:r>
      <w:r>
        <w:rPr>
          <w:rFonts w:ascii="Arial" w:cs="Arial" w:eastAsia="Arial" w:hAnsi="Arial"/>
          <w:color w:val="333333"/>
          <w:sz w:val="18"/>
          <w:szCs w:val="18"/>
        </w:rPr>
        <w:t xml:space="preserve">FATF &amp; Egmont Group. (2020). Trade-Based Money Laundering: Trends and Developments. OECD Paris. URL: https://www.fatf-gafi.org/content/dam/fatf-gafi/reports/Trade-Based-Money-Laundering-Trends-and-Developments.pdf</w:t>
      </w:r>
    </w:p>
    <w:p>
      <w:pPr>
        <w:pStyle w:val="ListParagraph"/>
        <w:numPr>
          <w:ilvl w:val="0"/>
          <w:numId w:val="3"/>
        </w:numPr>
        <w:spacing w:after="80"/>
      </w:pPr>
      <w:r>
        <w:rPr>
          <w:rFonts w:ascii="Arial" w:cs="Arial" w:eastAsia="Arial" w:hAnsi="Arial"/>
          <w:b/>
          <w:bCs/>
          <w:color w:val="1F4E79"/>
          <w:sz w:val="18"/>
          <w:szCs w:val="18"/>
        </w:rPr>
        <w:t xml:space="preserve">[5]  </w:t>
      </w:r>
      <w:r>
        <w:rPr>
          <w:rFonts w:ascii="Arial" w:cs="Arial" w:eastAsia="Arial" w:hAnsi="Arial"/>
          <w:color w:val="333333"/>
          <w:sz w:val="18"/>
          <w:szCs w:val="18"/>
        </w:rPr>
        <w:t xml:space="preserve">FATF. (2021). Trade-Based Money Laundering: Risk Indicators. OECD Paris. URL: https://www.fatf-gafi.org/content/dam/fatf-gafi/reports/Trade-Based-Money-Laundering-Risk-Indicators.pdf</w:t>
      </w:r>
    </w:p>
    <w:p>
      <w:pPr>
        <w:pStyle w:val="ListParagraph"/>
        <w:numPr>
          <w:ilvl w:val="0"/>
          <w:numId w:val="3"/>
        </w:numPr>
        <w:spacing w:after="80"/>
      </w:pPr>
      <w:r>
        <w:rPr>
          <w:rFonts w:ascii="Arial" w:cs="Arial" w:eastAsia="Arial" w:hAnsi="Arial"/>
          <w:b/>
          <w:bCs/>
          <w:color w:val="1F4E79"/>
          <w:sz w:val="18"/>
          <w:szCs w:val="18"/>
        </w:rPr>
        <w:t xml:space="preserve">[6]  </w:t>
      </w:r>
      <w:r>
        <w:rPr>
          <w:rFonts w:ascii="Arial" w:cs="Arial" w:eastAsia="Arial" w:hAnsi="Arial"/>
          <w:color w:val="333333"/>
          <w:sz w:val="18"/>
          <w:szCs w:val="18"/>
        </w:rPr>
        <w:t xml:space="preserve">FATF. (2012, updated 2023). The FATF Recommendations — 40 Recommendations on AML/CFT. URL: https://www.fatf-gafi.org/en/publications/Fatfrecommendations/Fatf-recommendations.html</w:t>
      </w:r>
    </w:p>
    <w:p>
      <w:pPr>
        <w:pStyle w:val="ListParagraph"/>
        <w:numPr>
          <w:ilvl w:val="0"/>
          <w:numId w:val="3"/>
        </w:numPr>
        <w:spacing w:after="80"/>
      </w:pPr>
      <w:r>
        <w:rPr>
          <w:rFonts w:ascii="Arial" w:cs="Arial" w:eastAsia="Arial" w:hAnsi="Arial"/>
          <w:b/>
          <w:bCs/>
          <w:color w:val="1F4E79"/>
          <w:sz w:val="18"/>
          <w:szCs w:val="18"/>
        </w:rPr>
        <w:t xml:space="preserve">[7]  </w:t>
      </w:r>
      <w:r>
        <w:rPr>
          <w:rFonts w:ascii="Arial" w:cs="Arial" w:eastAsia="Arial" w:hAnsi="Arial"/>
          <w:color w:val="333333"/>
          <w:sz w:val="18"/>
          <w:szCs w:val="18"/>
        </w:rPr>
        <w:t xml:space="preserve">FATF. (2023). Jurisdictions under Increased Monitoring (Grey List). Updated quarterly. URL: https://www.fatf-gafi.org/en/topics/high-risk-and-other-monitored-jurisdictions.html</w:t>
      </w:r>
    </w:p>
    <w:p>
      <w:pPr>
        <w:pStyle w:val="ListParagraph"/>
        <w:numPr>
          <w:ilvl w:val="0"/>
          <w:numId w:val="3"/>
        </w:numPr>
        <w:spacing w:after="80"/>
      </w:pPr>
      <w:r>
        <w:rPr>
          <w:rFonts w:ascii="Arial" w:cs="Arial" w:eastAsia="Arial" w:hAnsi="Arial"/>
          <w:b/>
          <w:bCs/>
          <w:color w:val="1F4E79"/>
          <w:sz w:val="18"/>
          <w:szCs w:val="18"/>
        </w:rPr>
        <w:t xml:space="preserve">[8]  </w:t>
      </w:r>
      <w:r>
        <w:rPr>
          <w:rFonts w:ascii="Arial" w:cs="Arial" w:eastAsia="Arial" w:hAnsi="Arial"/>
          <w:color w:val="333333"/>
          <w:sz w:val="18"/>
          <w:szCs w:val="18"/>
        </w:rPr>
        <w:t xml:space="preserve">Asia/Pacific Group on Money Laundering (APG). Money Laundering Typologies. APG Secretariat, Sydney. URL: https://apgml.org/methods-and-trends/</w:t>
      </w:r>
    </w:p>
    <w:p>
      <w:pPr>
        <w:spacing w:after="80"/>
      </w:pPr>
      <w:r>
        <w:t xml:space="preserve"/>
      </w:r>
    </w:p>
    <w:p>
      <w:pPr>
        <w:pStyle w:val="Heading2"/>
      </w:pPr>
      <w:r>
        <w:rPr>
          <w:rFonts w:ascii="Arial" w:cs="Arial" w:eastAsia="Arial" w:hAnsi="Arial"/>
          <w:b/>
          <w:bCs/>
          <w:color w:val="2E75B6"/>
          <w:sz w:val="26"/>
          <w:szCs w:val="26"/>
        </w:rPr>
        <w:t xml:space="preserve">12.2  Indian Regulatory Documents</w:t>
      </w:r>
    </w:p>
    <w:p>
      <w:pPr>
        <w:pStyle w:val="ListParagraph"/>
        <w:numPr>
          <w:ilvl w:val="0"/>
          <w:numId w:val="3"/>
        </w:numPr>
        <w:spacing w:after="80"/>
      </w:pPr>
      <w:r>
        <w:rPr>
          <w:rFonts w:ascii="Arial" w:cs="Arial" w:eastAsia="Arial" w:hAnsi="Arial"/>
          <w:b/>
          <w:bCs/>
          <w:color w:val="1F4E79"/>
          <w:sz w:val="18"/>
          <w:szCs w:val="18"/>
        </w:rPr>
        <w:t xml:space="preserve">[9]  </w:t>
      </w:r>
      <w:r>
        <w:rPr>
          <w:rFonts w:ascii="Arial" w:cs="Arial" w:eastAsia="Arial" w:hAnsi="Arial"/>
          <w:color w:val="333333"/>
          <w:sz w:val="18"/>
          <w:szCs w:val="18"/>
        </w:rPr>
        <w:t xml:space="preserve">Government of India. (2002, amended 2023). Prevention of Money Laundering Act (PMLA). Ministry of Finance. URL: https://www.indiacode.nic.in/handle/123456789/2006</w:t>
      </w:r>
    </w:p>
    <w:p>
      <w:pPr>
        <w:pStyle w:val="ListParagraph"/>
        <w:numPr>
          <w:ilvl w:val="0"/>
          <w:numId w:val="3"/>
        </w:numPr>
        <w:spacing w:after="80"/>
      </w:pPr>
      <w:r>
        <w:rPr>
          <w:rFonts w:ascii="Arial" w:cs="Arial" w:eastAsia="Arial" w:hAnsi="Arial"/>
          <w:b/>
          <w:bCs/>
          <w:color w:val="1F4E79"/>
          <w:sz w:val="18"/>
          <w:szCs w:val="18"/>
        </w:rPr>
        <w:t xml:space="preserve">[10]  </w:t>
      </w:r>
      <w:r>
        <w:rPr>
          <w:rFonts w:ascii="Arial" w:cs="Arial" w:eastAsia="Arial" w:hAnsi="Arial"/>
          <w:color w:val="333333"/>
          <w:sz w:val="18"/>
          <w:szCs w:val="18"/>
        </w:rPr>
        <w:t xml:space="preserve">Reserve Bank of India. (2016, updated 2023). Master Direction — Know Your Customer (KYC) Direction. RBI/DBR/2015-16/18. URL: https://www.rbi.org.in/Scripts/BS_ViewMasDirections.aspx?id=11566</w:t>
      </w:r>
    </w:p>
    <w:p>
      <w:pPr>
        <w:pStyle w:val="ListParagraph"/>
        <w:numPr>
          <w:ilvl w:val="0"/>
          <w:numId w:val="3"/>
        </w:numPr>
        <w:spacing w:after="80"/>
      </w:pPr>
      <w:r>
        <w:rPr>
          <w:rFonts w:ascii="Arial" w:cs="Arial" w:eastAsia="Arial" w:hAnsi="Arial"/>
          <w:b/>
          <w:bCs/>
          <w:color w:val="1F4E79"/>
          <w:sz w:val="18"/>
          <w:szCs w:val="18"/>
        </w:rPr>
        <w:t xml:space="preserve">[11]  </w:t>
      </w:r>
      <w:r>
        <w:rPr>
          <w:rFonts w:ascii="Arial" w:cs="Arial" w:eastAsia="Arial" w:hAnsi="Arial"/>
          <w:color w:val="333333"/>
          <w:sz w:val="18"/>
          <w:szCs w:val="18"/>
        </w:rPr>
        <w:t xml:space="preserve">Financial Intelligence Unit — India. (2023). Annual Report 2022-23. FIU-IND, New Delhi. URL: https://fiuindia.gov.in/files/Annual_Report/Annual%20Report%202022-23.pdf</w:t>
      </w:r>
    </w:p>
    <w:p>
      <w:pPr>
        <w:spacing w:after="80"/>
      </w:pPr>
      <w:r>
        <w:t xml:space="preserve"/>
      </w:r>
    </w:p>
    <w:p>
      <w:pPr>
        <w:pStyle w:val="Heading2"/>
      </w:pPr>
      <w:r>
        <w:rPr>
          <w:rFonts w:ascii="Arial" w:cs="Arial" w:eastAsia="Arial" w:hAnsi="Arial"/>
          <w:b/>
          <w:bCs/>
          <w:color w:val="2E75B6"/>
          <w:sz w:val="26"/>
          <w:szCs w:val="26"/>
        </w:rPr>
        <w:t xml:space="preserve">12.3  Research Papers</w:t>
      </w:r>
    </w:p>
    <w:p>
      <w:pPr>
        <w:pStyle w:val="ListParagraph"/>
        <w:numPr>
          <w:ilvl w:val="0"/>
          <w:numId w:val="3"/>
        </w:numPr>
        <w:spacing w:after="80"/>
      </w:pPr>
      <w:r>
        <w:rPr>
          <w:rFonts w:ascii="Arial" w:cs="Arial" w:eastAsia="Arial" w:hAnsi="Arial"/>
          <w:b/>
          <w:bCs/>
          <w:color w:val="1F4E79"/>
          <w:sz w:val="18"/>
          <w:szCs w:val="18"/>
        </w:rPr>
        <w:t xml:space="preserve">[12]  </w:t>
      </w:r>
      <w:r>
        <w:rPr>
          <w:rFonts w:ascii="Arial" w:cs="Arial" w:eastAsia="Arial" w:hAnsi="Arial"/>
          <w:color w:val="333333"/>
          <w:sz w:val="18"/>
          <w:szCs w:val="18"/>
        </w:rPr>
        <w:t xml:space="preserve">Chawla, N.V., Bowyer, K.W., Hall, L.O., &amp; Kegelmeyer, W.P. (2002). SMOTE: Synthetic Minority Over-sampling Technique. Journal of Artificial Intelligence Research, 16, 321-357. URL: https://www.jair.org/index.php/jair/article/view/10302</w:t>
      </w:r>
    </w:p>
    <w:p>
      <w:pPr>
        <w:pStyle w:val="ListParagraph"/>
        <w:numPr>
          <w:ilvl w:val="0"/>
          <w:numId w:val="3"/>
        </w:numPr>
        <w:spacing w:after="80"/>
      </w:pPr>
      <w:r>
        <w:rPr>
          <w:rFonts w:ascii="Arial" w:cs="Arial" w:eastAsia="Arial" w:hAnsi="Arial"/>
          <w:b/>
          <w:bCs/>
          <w:color w:val="1F4E79"/>
          <w:sz w:val="18"/>
          <w:szCs w:val="18"/>
        </w:rPr>
        <w:t xml:space="preserve">[13]  </w:t>
      </w:r>
      <w:r>
        <w:rPr>
          <w:rFonts w:ascii="Arial" w:cs="Arial" w:eastAsia="Arial" w:hAnsi="Arial"/>
          <w:color w:val="333333"/>
          <w:sz w:val="18"/>
          <w:szCs w:val="18"/>
        </w:rPr>
        <w:t xml:space="preserve">Chen, T. &amp; Guestrin, C. (2016). XGBoost: A Scalable Tree Boosting System. Proc. 22nd ACM SIGKDD, 785-794. arXiv:1603.02754. URL: https://arxiv.org/abs/1603.02754</w:t>
      </w:r>
    </w:p>
    <w:p>
      <w:pPr>
        <w:pStyle w:val="ListParagraph"/>
        <w:numPr>
          <w:ilvl w:val="0"/>
          <w:numId w:val="3"/>
        </w:numPr>
        <w:spacing w:after="80"/>
      </w:pPr>
      <w:r>
        <w:rPr>
          <w:rFonts w:ascii="Arial" w:cs="Arial" w:eastAsia="Arial" w:hAnsi="Arial"/>
          <w:b/>
          <w:bCs/>
          <w:color w:val="1F4E79"/>
          <w:sz w:val="18"/>
          <w:szCs w:val="18"/>
        </w:rPr>
        <w:t xml:space="preserve">[14]  </w:t>
      </w:r>
      <w:r>
        <w:rPr>
          <w:rFonts w:ascii="Arial" w:cs="Arial" w:eastAsia="Arial" w:hAnsi="Arial"/>
          <w:color w:val="333333"/>
          <w:sz w:val="18"/>
          <w:szCs w:val="18"/>
        </w:rPr>
        <w:t xml:space="preserve">Patki, N., Wedge, R., &amp; Veeramachaneni, K. (2016). The Synthetic Data Vault. IEEE DSAA. DOI: 10.1109/DSAA.2016.49. [SDV used in Step 02 to scale 150 seed cases to 10,000 rows.]</w:t>
      </w:r>
    </w:p>
    <w:p>
      <w:pPr>
        <w:pStyle w:val="ListParagraph"/>
        <w:numPr>
          <w:ilvl w:val="0"/>
          <w:numId w:val="3"/>
        </w:numPr>
        <w:spacing w:after="80"/>
      </w:pPr>
      <w:r>
        <w:rPr>
          <w:rFonts w:ascii="Arial" w:cs="Arial" w:eastAsia="Arial" w:hAnsi="Arial"/>
          <w:b/>
          <w:bCs/>
          <w:color w:val="1F4E79"/>
          <w:sz w:val="18"/>
          <w:szCs w:val="18"/>
        </w:rPr>
        <w:t xml:space="preserve">[15]  </w:t>
      </w:r>
      <w:r>
        <w:rPr>
          <w:rFonts w:ascii="Arial" w:cs="Arial" w:eastAsia="Arial" w:hAnsi="Arial"/>
          <w:color w:val="333333"/>
          <w:sz w:val="18"/>
          <w:szCs w:val="18"/>
        </w:rPr>
        <w:t xml:space="preserve">Agarwal, S., Blickle, K., &amp; Pierret, M. (2025). Searching for Smurfs: Testing if Money Launderers Know Alert Thresholds. Journal of Quantitative Criminology. DOI: 10.1007/s10940-025-09617-7. URL: https://link.springer.com/article/10.1007/s10940-025-09617-7</w:t>
      </w:r>
    </w:p>
    <w:p>
      <w:pPr>
        <w:spacing w:after="80"/>
      </w:pPr>
      <w:r>
        <w:t xml:space="preserve"/>
      </w:r>
    </w:p>
    <w:p>
      <w:pPr>
        <w:pStyle w:val="Heading2"/>
      </w:pPr>
      <w:r>
        <w:rPr>
          <w:rFonts w:ascii="Arial" w:cs="Arial" w:eastAsia="Arial" w:hAnsi="Arial"/>
          <w:b/>
          <w:bCs/>
          <w:color w:val="2E75B6"/>
          <w:sz w:val="26"/>
          <w:szCs w:val="26"/>
        </w:rPr>
        <w:t xml:space="preserve">12.4  What Does NOT Have a Peer-Reviewed or Regulatory Citation</w:t>
      </w:r>
    </w:p>
    <w:p>
      <w:pPr>
        <w:spacing w:after="120"/>
      </w:pPr>
      <w:r>
        <w:rPr>
          <w:rFonts w:ascii="Arial" w:cs="Arial" w:eastAsia="Arial" w:hAnsi="Arial"/>
          <w:color w:val="8B0000"/>
          <w:sz w:val="18"/>
          <w:szCs w:val="18"/>
        </w:rPr>
        <w:t xml:space="preserve">LIMITATION: The following are dataset-specific engineering decisions or domain conventions. They are reasonable but must not be presented as 'the threshold from FATF' or 'from research paper 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Honest 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velocity_score &gt; 0.75 for burst_score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Statistical convention (75th percentile). No regulatory source — dataset-specific threshold.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Composite score weights (0.45, 0.40, 0.15 etc.)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Derived from Pearson correlations on this specific dataset. Would differ on different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Typology label assignment rules (structuring_score &gt; 0.80 etc.)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Rule-of-thumb thresholds from synthetic data generation. Not from real AML investigations.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fund_exit transit tier at 0.95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Domain convention. No specific regulation mandates this threshold.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Round-tripping 72-hour window</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Engineering decision. Real investigations use 24h to 30 days depending on jurisdiction.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alert_count tier boundaries (2, 5, 10)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Industry practitioner convention. Not publicly citable.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Agent 1 — Master Documentation  |  Barclays Hack-O-Hire · Team Baymax  |  SAR Generator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2026-03-15T06:55:16.599Z</dcterms:created>
  <dcterms:modified xsi:type="dcterms:W3CDTF">2026-03-15T06:55:16.600Z</dcterms:modified>
</cp:coreProperties>
</file>

<file path=docProps/custom.xml><?xml version="1.0" encoding="utf-8"?>
<Properties xmlns="http://schemas.openxmlformats.org/officeDocument/2006/custom-properties" xmlns:vt="http://schemas.openxmlformats.org/officeDocument/2006/docPropsVTypes"/>
</file>