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Model Implementation Guide</w:t>
      </w:r>
    </w:p>
    <w:p>
      <w:pPr>
        <w:spacing w:after="100"/>
        <w:jc w:val="center"/>
      </w:pPr>
      <w:r>
        <w:rPr>
          <w:rFonts w:ascii="Arial" w:cs="Arial" w:eastAsia="Arial" w:hAnsi="Arial"/>
          <w:color w:val="D4A017"/>
          <w:sz w:val="32"/>
          <w:szCs w:val="32"/>
        </w:rPr>
        <w:t xml:space="preserve">Experimental Models for Codex Deployment</w:t>
      </w:r>
    </w:p>
    <w:p>
      <w:pPr>
        <w:pBdr>
          <w:bottom w:val="single" w:color="D4A017" w:sz="4" w:space="8"/>
        </w:pBd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MiMo-Audio · dots.mocr · SAM 3 · GRM2-3b · Chandra OCR 2</w:t>
      </w:r>
    </w:p>
    <w:p>
      <w:pPr>
        <w:spacing w:before="16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AetherPro Technologies LLC — March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Priority: Experimental / Side-channel — Does NOT block Monday launch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provides implementation specs for five experimental models identified during model scouting on March 22, 2026. Each section is self-contained and can be handed to Codex as a standalone task. Models are ordered by strategic priority to the AetherPro stack.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models deploy behind the existing LiteLLM aether-gateway or as standalone inference services on the OVHcloud fleet. No model in this document blocks the voice agent CRM launch.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500"/>
        <w:gridCol w:w="1500"/>
        <w:gridCol w:w="1200"/>
        <w:gridCol w:w="1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MiMo-Audio-7B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L40S-90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Native audio LLM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dots.mocr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L4-360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Image-to-SVG OCR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 (gated)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L4-360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GRM2-3b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(sidecar)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Lightweight reasoning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Chandra OCR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OpenRAIL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L40S-90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Formatted doc OCR</w:t>
            </w:r>
          </w:p>
        </w:tc>
      </w:tr>
    </w:tbl>
    <w:p>
      <w:pPr>
        <w:pBdr>
          <w:bottom w:val="single" w:color="D4A017" w:sz="2" w:space="4"/>
        </w:pBdr>
        <w:spacing w:before="200" w:after="200"/>
      </w:pPr>
    </w:p>
    <w:p>
      <w:pPr>
        <w:pStyle w:val="Heading1"/>
      </w:pPr>
      <w:r>
        <w:t xml:space="preserve">1. Xiaomi MiMo-Audio-7B-Instruct</w:t>
      </w:r>
    </w:p>
    <w:p>
      <w:pPr>
        <w:pStyle w:val="Heading2"/>
      </w:pPr>
      <w:r>
        <w:t xml:space="preserve">1.1 What It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MiMo-Audio is a native audio language model. Unlike the current ASR→LLM→TTS pipeline, MiMo processes raw audio input and produces text or audio output in a single forward pass. It is an Any-to-Any model: audio-to-text, text-to-audio, audio-to-audio, and text-to-text. Built on Qwen2 architecture with an audio encoder and audio decoder head.</w:t>
      </w:r>
    </w:p>
    <w:p>
      <w:pPr>
        <w:pStyle w:val="Heading2"/>
      </w:pPr>
      <w:r>
        <w:t xml:space="preserve">1.2 Why It Matters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model represents the next architecture for voice agents. The current three-stage pipeline (ASR → LLM → TTS) serializes three model calls per voice turn. MiMo collapses this into one. The latency savings alone could cut voice turn time by 40-60%. More importantly, it preserves audio features that ASR destroys: tone, emphasis, hesitation, emotion. The model hears the caller, not just their words.</w:t>
      </w:r>
    </w:p>
    <w:p>
      <w:pPr>
        <w:pStyle w:val="Heading2"/>
      </w:pPr>
      <w:r>
        <w:t xml:space="preserve">1.3 HuggingFace Collection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 Model: </w:t>
      </w:r>
      <w:r>
        <w:rPr>
          <w:rFonts w:ascii="Arial" w:cs="Arial" w:eastAsia="Arial" w:hAnsi="Arial"/>
          <w:sz w:val="22"/>
          <w:szCs w:val="22"/>
        </w:rPr>
        <w:t xml:space="preserve">XiaomiMiMo/MiMo-Audio-7B-Base — pretrained weights, no instruction tuning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Instruct Model: </w:t>
      </w:r>
      <w:r>
        <w:rPr>
          <w:rFonts w:ascii="Arial" w:cs="Arial" w:eastAsia="Arial" w:hAnsi="Arial"/>
          <w:sz w:val="22"/>
          <w:szCs w:val="22"/>
        </w:rPr>
        <w:t xml:space="preserve">XiaomiMiMo/MiMo-Audio-7B-Instruct — instruction-tuned, this is what you deploy (779 downloads, 151 likes)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Tokenizer: </w:t>
      </w:r>
      <w:r>
        <w:rPr>
          <w:rFonts w:ascii="Arial" w:cs="Arial" w:eastAsia="Arial" w:hAnsi="Arial"/>
          <w:sz w:val="22"/>
          <w:szCs w:val="22"/>
        </w:rPr>
        <w:t xml:space="preserve">XiaomiMiMo/MiMo-Audio-Tokenizer — required for audio encoding/decoding (220 downloads)</w:t>
      </w:r>
    </w:p>
    <w:p>
      <w:pPr>
        <w:pStyle w:val="Heading2"/>
      </w:pPr>
      <w:r>
        <w:t xml:space="preserve">1.4 Deployment Spec</w:t>
      </w:r>
    </w:p>
    <w:p>
      <w:pPr>
        <w:pStyle w:val="Heading3"/>
      </w:pPr>
      <w:r>
        <w:t xml:space="preserve">Target Node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L40S-90 (single 48GB GPU). At 8B params in BF16 = ~16GB VRAM. With AWQ-4bit quant = ~6GB. This leaves room alongside Qwen3.5-35B (AWQ-4bit, ~20GB) and GLM-OCR. Tight but feasible.</w:t>
      </w:r>
    </w:p>
    <w:p>
      <w:pPr>
        <w:pStyle w:val="Heading3"/>
      </w:pPr>
      <w:r>
        <w:t xml:space="preserve">vLLM Compatibility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Check vLLM nightly support first. MiMo uses a custom architecture (Qwen2 backbone + audio encoder/decoder). If vLLM doesn’t support it yet, fall back to Transformers + custom inference script.</w:t>
      </w:r>
    </w:p>
    <w:p>
      <w:pPr>
        <w:pStyle w:val="Heading3"/>
      </w:pPr>
      <w:r>
        <w:t xml:space="preserve">Implementation Steps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1. Download all three components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huggingface-cli download XiaomiMiMo/MiMo-Audio-7B-Instruct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huggingface-cli download XiaomiMiMo/MiMo-Audio-Tokenizer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2. Check vLLM support (nightly)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vllm-nightly --force-reinstall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-c "from vllm import LLM; LLM('XiaomiMiMo/MiMo-Audio-7B-Instruct')"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3. If vLLM fails, use transformers directly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transformers accelerate soundfile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4. Test inference with audio input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See MiMo GitHub repo for inference script template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Key: load tokenizer separately, audio must be 16kHz mono WAV</w:t>
      </w:r>
    </w:p>
    <w:p>
      <w:pPr>
        <w:pStyle w:val="Heading3"/>
      </w:pPr>
      <w:r>
        <w:t xml:space="preserve">Integration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 NOT replace the existing ASR→LLM→TTS pipeline. Run MiMo as a parallel experimental path behind a feature flag. Route a percentage of test calls to MiMo and compare latency, accuracy, and conversation quality against the three-stage pipeline. The VoiceOps agent config already supports model selection per agent — create a mimo-experimental agent config.</w:t>
      </w:r>
    </w:p>
    <w:p>
      <w:pPr>
        <w:pStyle w:val="Heading3"/>
      </w:pPr>
      <w:r>
        <w:t xml:space="preserve">Eval Criteria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Voice turn latency: </w:t>
      </w:r>
      <w:r>
        <w:rPr>
          <w:rFonts w:ascii="Arial" w:cs="Arial" w:eastAsia="Arial" w:hAnsi="Arial"/>
          <w:sz w:val="22"/>
          <w:szCs w:val="22"/>
        </w:rPr>
        <w:t xml:space="preserve">Measure total time from end of caller utterance to start of agent audio response. Target: &lt;500ms (vs current ~800ms three-stage).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Transcript accuracy: </w:t>
      </w:r>
      <w:r>
        <w:rPr>
          <w:rFonts w:ascii="Arial" w:cs="Arial" w:eastAsia="Arial" w:hAnsi="Arial"/>
          <w:sz w:val="22"/>
          <w:szCs w:val="22"/>
        </w:rPr>
        <w:t xml:space="preserve">Compare MiMo’s internal transcription against your ASR stack. Log both.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Conversation quality: </w:t>
      </w:r>
      <w:r>
        <w:rPr>
          <w:rFonts w:ascii="Arial" w:cs="Arial" w:eastAsia="Arial" w:hAnsi="Arial"/>
          <w:sz w:val="22"/>
          <w:szCs w:val="22"/>
        </w:rPr>
        <w:t xml:space="preserve">Does it sound natural? Does it understand context? Subjective but critical.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VRAM usage: </w:t>
      </w:r>
      <w:r>
        <w:rPr>
          <w:rFonts w:ascii="Arial" w:cs="Arial" w:eastAsia="Arial" w:hAnsi="Arial"/>
          <w:sz w:val="22"/>
          <w:szCs w:val="22"/>
        </w:rPr>
        <w:t xml:space="preserve">Monitor nvidia-smi during concurrent load. Document peak usage.</w:t>
      </w:r>
    </w:p>
    <w:p>
      <w:pPr>
        <w:pStyle w:val="Heading3"/>
      </w:pPr>
      <w:r>
        <w:t xml:space="preserve">Risk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MiMo was released September 2025. Only 779 downloads on the Instruct model. Community adoption is low. The model may have quirks, poor edge-case handling, or limited language support. This is an experiment, not a production deployment. Do not route paying customer calls through it.</w:t>
      </w:r>
    </w:p>
    <w:p>
      <w:pPr>
        <w:pBdr>
          <w:bottom w:val="single" w:color="D4A017" w:sz="2" w:space="4"/>
        </w:pBdr>
        <w:spacing w:before="200" w:after="200"/>
      </w:pPr>
    </w:p>
    <w:p>
      <w:pPr>
        <w:pStyle w:val="Heading1"/>
      </w:pPr>
      <w:r>
        <w:t xml:space="preserve">2. dots.mocr (rednote-hilab)</w:t>
      </w:r>
    </w:p>
    <w:p>
      <w:pPr>
        <w:pStyle w:val="Heading2"/>
      </w:pPr>
      <w:r>
        <w:t xml:space="preserve">2.1 What It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dots.mocr is a 3B multimodal OCR model that goes beyond text extraction. It converts structured graphics — charts, UI layouts, scientific figures, diagrams — directly into SVG code. It also handles standard OCR tasks (document parsing, table extraction, formula recognition) with SOTA performance at its size class. MIT license.</w:t>
      </w:r>
    </w:p>
    <w:p>
      <w:pPr>
        <w:pStyle w:val="Heading2"/>
      </w:pPr>
      <w:r>
        <w:t xml:space="preserve">2.2 Why It Matters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Perceptor: a camera sees a whiteboard with a wiring diagram → dots.mocr converts it to editable SVG. A photo of a handwritten work order → dots.mocr extracts the text AND reconstructs the layout as code. For the voice agent stack: a contractor texts a photo of a panel schedule → dots.mocr digitizes it into structured data the analyst model can process. The image-to-SVG capability is unique in the open-source landscape.</w:t>
      </w:r>
    </w:p>
    <w:p>
      <w:pPr>
        <w:pStyle w:val="Heading2"/>
      </w:pPr>
      <w:r>
        <w:t xml:space="preserve">2.3 Deployment Spec</w:t>
      </w:r>
    </w:p>
    <w:p>
      <w:pPr>
        <w:pStyle w:val="Heading3"/>
      </w:pPr>
      <w:r>
        <w:t xml:space="preserve">Target Node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L4-360 (4x24GB). At 3B BF16 = ~6GB VRAM. Deploy on one of the four L4 GPUs alongside the ASR/TTS workloads. Alternatively, run on the L40S-90 if L4 VRAM is saturated by voice workloads.</w:t>
      </w:r>
    </w:p>
    <w:p>
      <w:pPr>
        <w:pStyle w:val="Heading3"/>
      </w:pPr>
      <w:r>
        <w:t xml:space="preserve">Implementation Steps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1. Download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huggingface-cli download rednote-hilab/dots.mocr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Also grab the SVG variant if you want pure image-to-SVG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huggingface-cli download rednote-hilab/dots.mocr-svg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2. Test with transformers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transformers accelerate Pillow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3. Basic inference test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transformers import AutoModelForCausalLM, AutoProcessor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model = AutoModelForCausalLM.from_pretrained('rednote-hilab/dots.mocr',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torch_dtype=torch.bfloat16, device_map='auto', trust_remote_code=True)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processor = AutoProcessor.from_pretrained('rednote-hilab/dots.mocr',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trust_remote_code=True)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4. Test with a real document image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Input: PIL Image of a permit, invoice, or wiring diagram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Output: Markdown text with layout OR SVG code</w:t>
      </w:r>
    </w:p>
    <w:p>
      <w:pPr>
        <w:pStyle w:val="Heading3"/>
      </w:pPr>
      <w:r>
        <w:t xml:space="preserve">Expose as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Wrap in a FastAPI service behind Tailscale. Single endpoint: POST /v1/ocr/parse with multipart image upload. Returns JSON with extracted text (markdown), optional SVG output, and detected layout regions. Register this as a tool in MCP Fabric so other agents can call it.</w:t>
      </w:r>
    </w:p>
    <w:p>
      <w:pPr>
        <w:pStyle w:val="Heading3"/>
      </w:pPr>
      <w:r>
        <w:t xml:space="preserve">MCP Fabric Integration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Register as Fabric tool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Tool name: dots_ocr_parse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Description: Extract text and layout from document images.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Returns markdown text and optional SVG reconstruction.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Input: { image_base64: string, output_format: 'markdown' | 'svg' | 'both'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Output: { text: string, svg?: string, regions: [{type, bbox, content}] }</w:t>
      </w:r>
    </w:p>
    <w:p>
      <w:pPr>
        <w:pBdr>
          <w:bottom w:val="single" w:color="D4A017" w:sz="2" w:space="4"/>
        </w:pBdr>
        <w:spacing w:before="200" w:after="200"/>
      </w:pPr>
    </w:p>
    <w:p>
      <w:pPr>
        <w:pStyle w:val="Heading1"/>
      </w:pPr>
      <w:r>
        <w:t xml:space="preserve">3. Meta SAM 3 (Segment Anything Model 3)</w:t>
      </w:r>
    </w:p>
    <w:p>
      <w:pPr>
        <w:pStyle w:val="Heading2"/>
      </w:pPr>
      <w:r>
        <w:t xml:space="preserve">3.1 What It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 3 is Meta’s third-generation segmentation model. 0.9B params, handles 270K visual concepts, works on both images and video. Given an image and a prompt (point, box, or text), it produces pixel-perfect segmentation masks. 2.4M downloads/month. Gated access — access request submitted, awaiting approval.</w:t>
      </w:r>
    </w:p>
    <w:p>
      <w:pPr>
        <w:pStyle w:val="Heading2"/>
      </w:pPr>
      <w:r>
        <w:t xml:space="preserve">3.2 Why It Matters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Perceptor stack, SAM 3 is the precision layer. YOLOv10 detects objects (bounding boxes). SAM 3 segments them (pixel masks). Together they enable: precise intrusion zone monitoring for RedWatch, object counting and tracking through occlusion, privacy masking (blur exact person boundaries, not rectangles), and interactive "point at thing, identify thing" for AR/multimodal interfaces.</w:t>
      </w:r>
    </w:p>
    <w:p>
      <w:pPr>
        <w:pStyle w:val="Heading2"/>
      </w:pPr>
      <w:r>
        <w:t xml:space="preserve">3.3 Deployment Spec</w:t>
      </w:r>
    </w:p>
    <w:p>
      <w:pPr>
        <w:pStyle w:val="Heading3"/>
      </w:pPr>
      <w:r>
        <w:t xml:space="preserve">Target Node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L4-360. At 0.9B F32 = ~3.6GB VRAM. Quantized to FP16 = ~1.8GB. This is tiny. Can coexist with ASR/TTS and dots.mocr on the same node easily.</w:t>
      </w:r>
    </w:p>
    <w:p>
      <w:pPr>
        <w:pStyle w:val="Heading3"/>
      </w:pPr>
      <w:r>
        <w:t xml:space="preserve">Prerequisite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Gated model — must wait for Meta approval. Check access status at huggingface.co/settings/gated-repos. Once approved, all 5 repos in the SAM3 Gating Group unlock.</w:t>
      </w:r>
    </w:p>
    <w:p>
      <w:pPr>
        <w:pStyle w:val="Heading3"/>
      </w:pPr>
      <w:r>
        <w:t xml:space="preserve">Implementation Steps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1. Once approved, download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huggingface-cli download facebook/sam3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2. Install dependencies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sam-3  # Meta's official package (check PyPI/GitHub)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Fallback: pip install segment-anything-3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3. Basic inference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sam3 import SAM3Predictor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predictor = SAM3Predictor.from_pretrained('facebook/sam3')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Point prompt: click on an object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masks = predictor.predict(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image=image_array,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point_coords=[[500, 300]],  # x, 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point_labels=[1]  # 1 = foreground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Text prompt: describe what to segment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masks = predictor.predict(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image=image_array,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text='electrical panel'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pStyle w:val="Heading3"/>
      </w:pPr>
      <w:r>
        <w:t xml:space="preserve">Perceptor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 3 slots into the Perceptor pipeline after YOLOv10 detection. YOLO produces bounding boxes → SAM 3 refines each box into a pixel mask. This is the standard detect-then-segment pattern used in production vision systems. Expose as a Perceptor kernel module with a simple API: input image + bounding boxes or points, output segmentation masks as numpy arrays or PNG alpha channels.</w:t>
      </w:r>
    </w:p>
    <w:p>
      <w:pPr>
        <w:pBdr>
          <w:bottom w:val="single" w:color="D4A017" w:sz="2" w:space="4"/>
        </w:pBdr>
        <w:spacing w:before="200" w:after="200"/>
      </w:pPr>
    </w:p>
    <w:p>
      <w:pPr>
        <w:pStyle w:val="Heading1"/>
      </w:pPr>
      <w:r>
        <w:t xml:space="preserve">4. OrionLLM GRM2-3b</w:t>
      </w:r>
    </w:p>
    <w:p>
      <w:pPr>
        <w:pStyle w:val="Heading2"/>
      </w:pPr>
      <w:r>
        <w:t xml:space="preserve">4.1 What It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GRM2-3b is a 3B (reported as 4B on HF) general-purpose reasoning model from Orion LLM Labs. Apache 2.0. Designed for multi-domain reasoning: code, math, science, and long-chain logical inference. Trending on HuggingFace front page with only 39 downloads — new and unproven but community-validated enough to trend.</w:t>
      </w:r>
    </w:p>
    <w:p>
      <w:pPr>
        <w:pStyle w:val="Heading2"/>
      </w:pPr>
      <w:r>
        <w:t xml:space="preserve">4.2 Why It Matters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a candidate for the "small models toolbelt" concept. At 3-4B params it can run as a sidecar on any node with minimal VRAM (&lt;4GB quantized). Use cases: fast intent classification for voice routing (instead of burning a 35B turn), simple structured extraction tasks, form field validation, and as the lightweight judge in the NeuroTune eval loop. The reasoning emphasis makes it potentially better than a generic 3B for tasks that require multi-step logic.</w:t>
      </w:r>
    </w:p>
    <w:p>
      <w:pPr>
        <w:pStyle w:val="Heading2"/>
      </w:pPr>
      <w:r>
        <w:t xml:space="preserve">4.3 Deployment Spec</w:t>
      </w:r>
    </w:p>
    <w:p>
      <w:pPr>
        <w:pStyle w:val="Heading3"/>
      </w:pPr>
      <w:r>
        <w:t xml:space="preserve">Target Node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Any node with spare VRAM. Best candidate: L4-360 (plenty of headroom after ASR/TTS). At AWQ-4bit, this model would use ~2GB VRAM.</w:t>
      </w:r>
    </w:p>
    <w:p>
      <w:pPr>
        <w:pStyle w:val="Heading3"/>
      </w:pPr>
      <w:r>
        <w:t xml:space="preserve">Implementation Steps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1. Download (check for cyankiwi quant first)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If cyankiwi has an AWQ-4bit: use that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Otherwise: use base BF16 or find community quant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huggingface-cli download OrionLLM/GRM2-3b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2. Test with vLLM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-m vllm.entrypoints.openai.api_server \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--model OrionLLM/GRM2-3b \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--port 8201 \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--gpu-memory-utilization 0.15 \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--max-model-len 4096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3. Register in LiteLLM config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Add to litellm_config.yaml: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- model_name: grm2-3b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litellm_params: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  model: openai/OrionLLM/GRM2-3b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  api_base: http://127.0.0.1:8201/v1</w:t>
      </w:r>
    </w:p>
    <w:p>
      <w:pPr>
        <w:pStyle w:val="Heading3"/>
      </w:pPr>
      <w:r>
        <w:t xml:space="preserve">Eval Task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using in production, benchmark against Qwen3.5-35B on 50 real voice intake transcripts. Measure: does GRM2-3b correctly classify intent? Does it extract the right fields? If it matches 35B accuracy on classification/extraction tasks, it’s a viable offload target that saves 35B capacity for the conversational turns.</w:t>
      </w:r>
    </w:p>
    <w:p>
      <w:pPr>
        <w:pBdr>
          <w:bottom w:val="single" w:color="D4A017" w:sz="2" w:space="4"/>
        </w:pBdr>
        <w:spacing w:before="200" w:after="200"/>
      </w:pPr>
    </w:p>
    <w:p>
      <w:pPr>
        <w:pStyle w:val="Heading1"/>
      </w:pPr>
      <w:r>
        <w:t xml:space="preserve">5. Chandra OCR 2 (datalab-to)</w:t>
      </w:r>
    </w:p>
    <w:p>
      <w:pPr>
        <w:pStyle w:val="Heading2"/>
      </w:pPr>
      <w:r>
        <w:t xml:space="preserve">5.1 What It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Chandra OCR 2 is a 5B OCR model from Datalab that outputs clean markdown, HTML, or JSON from images and PDFs. 85.9% olmocr benchmark (SOTA), 77.8% multilingual. OpenRAIL license (more restrictive than MIT — review terms before commercial deployment). Built on Qwen3.5 architecture with OCR-specific fine-tuning.</w:t>
      </w:r>
    </w:p>
    <w:p>
      <w:pPr>
        <w:pStyle w:val="Heading2"/>
      </w:pPr>
      <w:r>
        <w:t xml:space="preserve">5.2 Why It Matters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Chandra is the upgrade path from GLM-OCR when you need cleaner formatted output. GLM-OCR gives you raw text with layout hints. Chandra gives you a properly formatted document ready for downstream processing. For the CRM intake pipeline: contractor uploads a PDF permit application → Chandra extracts it as clean markdown → analyst model parses the structured fields. The SOTA accuracy means fewer extraction errors that would need human review.</w:t>
      </w:r>
    </w:p>
    <w:p>
      <w:pPr>
        <w:pStyle w:val="Heading2"/>
      </w:pPr>
      <w:r>
        <w:t xml:space="preserve">5.3 Deployment Spec</w:t>
      </w:r>
    </w:p>
    <w:p>
      <w:pPr>
        <w:pStyle w:val="Heading3"/>
      </w:pPr>
      <w:r>
        <w:t xml:space="preserve">Target Node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L40S-90 alongside GLM-OCR. At 5B BF16 = ~10GB. With quantization = ~4GB. Run both OCR models and route based on task: GLM-OCR for speed/simple extraction, Chandra for accuracy/formatted output.</w:t>
      </w:r>
    </w:p>
    <w:p>
      <w:pPr>
        <w:pStyle w:val="Heading3"/>
      </w:pPr>
      <w:r>
        <w:t xml:space="preserve">Implementation Steps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1. Download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huggingface-cli download datalab-to/chandra-ocr-2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2. Install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transformers accelerate Pillow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3. Basic inference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transformers import AutoModelForCausalLM, AutoProcessor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model = AutoModelForCausalLM.from_pretrained('datalab-to/chandra-ocr-2',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torch_dtype=torch.bfloat16, device_map='auto', trust_remote_code=True)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processor = AutoProcessor.from_pretrained('datalab-to/chandra-ocr-2',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trust_remote_code=True)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4. Process a document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Input: PIL Image of document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Prompt: 'Convert this document to markdown'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Output: Clean markdown with headers, tables, lists preserved</w:t>
      </w:r>
    </w:p>
    <w:p>
      <w:pPr>
        <w:pStyle w:val="Heading3"/>
      </w:pPr>
      <w:r>
        <w:t xml:space="preserve">License Warning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OpenRAIL license requires attribution and prohibits certain use cases. Review the full license before deploying for paying customers. GLM-OCR (MIT) has no such restrictions. If license terms are a concern, stick with GLM-OCR for production and use Chandra only for internal/experimental workloads.</w:t>
      </w:r>
    </w:p>
    <w:p>
      <w:pPr>
        <w:pBdr>
          <w:bottom w:val="single" w:color="D4A017" w:sz="2" w:space="4"/>
        </w:pBdr>
        <w:spacing w:before="200" w:after="200"/>
      </w:pPr>
    </w:p>
    <w:p>
      <w:pPr>
        <w:pStyle w:val="Heading1"/>
      </w:pPr>
      <w:r>
        <w:t xml:space="preserve">6. Recommended Deployment 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model is independent. Deploy in this order based on strategic value and ease of integration: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800"/>
        <w:gridCol w:w="2000"/>
        <w:gridCol w:w="2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GRM2-3b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vLLM, LiteLLM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Quick win. Download, serve, register in gateway.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dots.mocr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Transformers, FastAPI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Wrap in API, register in Fabric.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MiMo-Audio-7B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8-12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inference, VoiceOps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 custom inference script. Feature-flagged in VoiceOps.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 approval, Perceptor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Blocked on gated access. Perceptor integration.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Chandra OCR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Transformers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priority. GLM-OCR covers this. License review needed.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estimated Codex time for all five: ~24 hours of agent work, spread across multiple sessions. Each model is a standalone task that can run in parallel on different Codex instances if deployed on different nodes.</w:t>
      </w:r>
    </w:p>
    <w:p>
      <w:pPr>
        <w:pBdr>
          <w:bottom w:val="single" w:color="D4A017" w:sz="2" w:space="4"/>
        </w:pBdr>
        <w:spacing w:before="200" w:after="200"/>
      </w:pPr>
    </w:p>
    <w:p>
      <w:pPr>
        <w:pStyle w:val="Heading1"/>
      </w:pPr>
      <w:r>
        <w:t xml:space="preserve">7. VRAM Budget After Full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 New Models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Headroom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L40S-90 (48GB)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Qwen3.5-35B AWQ (~20GB) + GLM-OCR (~4GB) = ~24GB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MiMo-Audio AWQ (~6GB) + Chandra AWQ (~4GB) = ~34GB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~14GB 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L40S-180 (2x48GB)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Mistral Small 4 119B sharded = ~70GB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changes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~26GB 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L4-360 (4x24GB = 96GB)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ASR + TTS stack = ~30-40GB est.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dots.mocr (~6GB) + SAM 3 (~2GB) + GRM2-3b (~2GB) = ~50GB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~46GB free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conservative estimates assuming AWQ-4bit quantization where available. Actual VRAM depends on context length, batch size, and KV cache. Monitor with nvidia-smi during load testing and adjust placement if contention appears.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AetherPro — Model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D4A0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2026-03-22T14:26:17.386Z</dcterms:created>
  <dcterms:modified xsi:type="dcterms:W3CDTF">2026-03-22T14:26:17.387Z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