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aptionedFigure"/>
        <w:rPr/>
      </w:pPr>
      <w:r>
        <w:rPr/>
        <w:drawing>
          <wp:inline distT="0" distB="0" distL="0" distR="0">
            <wp:extent cx="1371600" cy="1371600"/>
            <wp:effectExtent l="0" t="0" r="0" b="0"/>
            <wp:docPr id="1" name="Picture" descr="Syndicate AI Voice Ag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Syndicate AI Voice Agent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Syndicate AI Voice Agents</w:t>
      </w:r>
    </w:p>
    <w:p>
      <w:pPr>
        <w:pStyle w:val="Heading1"/>
        <w:rPr/>
      </w:pPr>
      <w:bookmarkStart w:id="0" w:name="statement-of-work"/>
      <w:r>
        <w:rPr/>
        <w:t>Statement of Work</w:t>
      </w:r>
      <w:bookmarkEnd w:id="0"/>
    </w:p>
    <w:p>
      <w:pPr>
        <w:pStyle w:val="Heading2"/>
        <w:rPr/>
      </w:pPr>
      <w:bookmarkStart w:id="1" w:name="Xafb02f9fa5e55cd1f57739e83b973b131a61be2"/>
      <w:r>
        <w:rPr/>
        <w:t>Syndicate AI Voice Agents Pilot Deployment</w:t>
      </w:r>
      <w:bookmarkEnd w:id="1"/>
    </w:p>
    <w:p>
      <w:pPr>
        <w:pStyle w:val="FirstParagraph"/>
        <w:rPr/>
      </w:pPr>
      <w:r>
        <w:rPr/>
        <w:t xml:space="preserve">This Statement of Work (“SOW”) is entered into pursuant to the Master Services Agreement between </w:t>
      </w:r>
      <w:r>
        <w:rPr>
          <w:b/>
        </w:rPr>
        <w:t>AetherPro Technologies LLC</w:t>
      </w:r>
      <w:r>
        <w:rPr/>
        <w:t xml:space="preserve"> and </w:t>
      </w:r>
      <w:r>
        <w:rPr>
          <w:b/>
        </w:rPr>
        <w:t>[Client Legal Name]</w:t>
      </w:r>
      <w:r>
        <w:rPr/>
        <w:t>.</w:t>
      </w:r>
    </w:p>
    <w:p>
      <w:pPr>
        <w:pStyle w:val="Heading2"/>
        <w:rPr/>
      </w:pPr>
      <w:bookmarkStart w:id="2" w:name="client"/>
      <w:r>
        <w:rPr/>
        <w:t>Client</w:t>
      </w:r>
      <w:bookmarkEnd w:id="2"/>
    </w:p>
    <w:p>
      <w:pPr>
        <w:pStyle w:val="FirstParagraph"/>
        <w:rPr/>
      </w:pPr>
      <w:r>
        <w:rPr/>
        <w:t>[Client Legal Name]</w:t>
      </w:r>
    </w:p>
    <w:p>
      <w:pPr>
        <w:pStyle w:val="Heading2"/>
        <w:rPr/>
      </w:pPr>
      <w:bookmarkStart w:id="3" w:name="project-name"/>
      <w:r>
        <w:rPr/>
        <w:t>Project Name</w:t>
      </w:r>
      <w:bookmarkEnd w:id="3"/>
    </w:p>
    <w:p>
      <w:pPr>
        <w:pStyle w:val="FirstParagraph"/>
        <w:rPr/>
      </w:pPr>
      <w:r>
        <w:rPr/>
        <w:t xml:space="preserve">Syndicate AI Voice Agents </w:t>
      </w:r>
      <w:r>
        <w:rPr/>
        <w:t>Growth</w:t>
      </w:r>
      <w:r>
        <w:rPr/>
        <w:t xml:space="preserve"> Deployment for [Business Name]</w:t>
      </w:r>
    </w:p>
    <w:p>
      <w:pPr>
        <w:pStyle w:val="Heading2"/>
        <w:rPr/>
      </w:pPr>
      <w:bookmarkStart w:id="4" w:name="objective"/>
      <w:r>
        <w:rPr/>
        <w:t>Objective</w:t>
      </w:r>
      <w:bookmarkEnd w:id="4"/>
    </w:p>
    <w:p>
      <w:pPr>
        <w:pStyle w:val="FirstParagraph"/>
        <w:rPr/>
      </w:pPr>
      <w:r>
        <w:rPr/>
        <w:t>Deploy an inbound AI voice system designed to improve call coverage, capture structured intake, and route or escalate calls according to the Client’s operating rules.</w:t>
      </w:r>
    </w:p>
    <w:p>
      <w:pPr>
        <w:pStyle w:val="Heading2"/>
        <w:rPr/>
      </w:pPr>
      <w:bookmarkStart w:id="5" w:name="scope-included"/>
      <w:r>
        <w:rPr/>
        <w:t>Scope Included</w:t>
      </w:r>
      <w:bookmarkEnd w:id="5"/>
    </w:p>
    <w:p>
      <w:pPr>
        <w:pStyle w:val="FirstParagraph"/>
        <w:rPr/>
      </w:pPr>
      <w:r>
        <w:rPr/>
        <w:t>AetherPro will provide the following services for this pilot:</w:t>
      </w:r>
    </w:p>
    <w:p>
      <w:pPr>
        <w:pStyle w:val="Compact"/>
        <w:numPr>
          <w:ilvl w:val="0"/>
          <w:numId w:val="1"/>
        </w:numPr>
        <w:rPr/>
      </w:pPr>
      <w:r>
        <w:rPr/>
        <w:t>Setup and configuration for [number] business line(s) or forwarded number(s)</w:t>
      </w:r>
    </w:p>
    <w:p>
      <w:pPr>
        <w:pStyle w:val="Compact"/>
        <w:numPr>
          <w:ilvl w:val="0"/>
          <w:numId w:val="1"/>
        </w:numPr>
        <w:rPr/>
      </w:pPr>
      <w:r>
        <w:rPr/>
        <w:t>Inbound AI call handling</w:t>
      </w:r>
    </w:p>
    <w:p>
      <w:pPr>
        <w:pStyle w:val="Compact"/>
        <w:numPr>
          <w:ilvl w:val="0"/>
          <w:numId w:val="1"/>
        </w:numPr>
        <w:rPr/>
      </w:pPr>
      <w:r>
        <w:rPr/>
        <w:t>After-hours and/or overflow call coverage</w:t>
      </w:r>
    </w:p>
    <w:p>
      <w:pPr>
        <w:pStyle w:val="Compact"/>
        <w:numPr>
          <w:ilvl w:val="0"/>
          <w:numId w:val="1"/>
        </w:numPr>
        <w:rPr/>
      </w:pPr>
      <w:r>
        <w:rPr/>
        <w:t>Structured intake capture</w:t>
      </w:r>
    </w:p>
    <w:p>
      <w:pPr>
        <w:pStyle w:val="Compact"/>
        <w:numPr>
          <w:ilvl w:val="0"/>
          <w:numId w:val="1"/>
        </w:numPr>
        <w:rPr/>
      </w:pPr>
      <w:r>
        <w:rPr/>
        <w:t>SMS and/or email summaries</w:t>
      </w:r>
    </w:p>
    <w:p>
      <w:pPr>
        <w:pStyle w:val="Compact"/>
        <w:numPr>
          <w:ilvl w:val="0"/>
          <w:numId w:val="1"/>
        </w:numPr>
        <w:rPr/>
      </w:pPr>
      <w:r>
        <w:rPr/>
        <w:t>Routing and escalation configuration</w:t>
      </w:r>
    </w:p>
    <w:p>
      <w:pPr>
        <w:pStyle w:val="Compact"/>
        <w:numPr>
          <w:ilvl w:val="0"/>
          <w:numId w:val="1"/>
        </w:numPr>
        <w:rPr/>
      </w:pPr>
      <w:r>
        <w:rPr/>
        <w:t>Business-hours rule setup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Limited rollout tuning during the </w:t>
      </w:r>
      <w:r>
        <w:rPr/>
        <w:t>initial service</w:t>
      </w:r>
      <w:r>
        <w:rPr/>
        <w:t xml:space="preserve"> window</w:t>
      </w:r>
    </w:p>
    <w:p>
      <w:pPr>
        <w:pStyle w:val="Heading2"/>
        <w:rPr/>
      </w:pPr>
      <w:bookmarkStart w:id="6" w:name="out-of-scope"/>
      <w:r>
        <w:rPr/>
        <w:t>Out of Scope</w:t>
      </w:r>
      <w:bookmarkEnd w:id="6"/>
    </w:p>
    <w:p>
      <w:pPr>
        <w:pStyle w:val="FirstParagraph"/>
        <w:rPr/>
      </w:pPr>
      <w:r>
        <w:rPr/>
        <w:t>Unless expressly added in writing, the following are excluded:</w:t>
      </w:r>
    </w:p>
    <w:p>
      <w:pPr>
        <w:pStyle w:val="Compact"/>
        <w:numPr>
          <w:ilvl w:val="0"/>
          <w:numId w:val="25"/>
        </w:numPr>
        <w:rPr/>
      </w:pPr>
      <w:r>
        <w:rPr/>
        <w:t>CRM migration</w:t>
      </w:r>
    </w:p>
    <w:p>
      <w:pPr>
        <w:pStyle w:val="Compact"/>
        <w:numPr>
          <w:ilvl w:val="0"/>
          <w:numId w:val="26"/>
        </w:numPr>
        <w:rPr/>
      </w:pPr>
      <w:r>
        <w:rPr/>
        <w:t>Custom API development</w:t>
      </w:r>
    </w:p>
    <w:p>
      <w:pPr>
        <w:pStyle w:val="Compact"/>
        <w:numPr>
          <w:ilvl w:val="0"/>
          <w:numId w:val="27"/>
        </w:numPr>
        <w:rPr/>
      </w:pPr>
      <w:r>
        <w:rPr/>
        <w:t>Outbound lead generation campaigns</w:t>
      </w:r>
    </w:p>
    <w:p>
      <w:pPr>
        <w:pStyle w:val="Compact"/>
        <w:numPr>
          <w:ilvl w:val="0"/>
          <w:numId w:val="28"/>
        </w:numPr>
        <w:rPr/>
      </w:pPr>
      <w:r>
        <w:rPr/>
        <w:t>Advanced scheduling integrations</w:t>
      </w:r>
    </w:p>
    <w:p>
      <w:pPr>
        <w:pStyle w:val="Compact"/>
        <w:numPr>
          <w:ilvl w:val="0"/>
          <w:numId w:val="29"/>
        </w:numPr>
        <w:rPr/>
      </w:pPr>
      <w:r>
        <w:rPr/>
        <w:t>Custom dashboards beyond standard reporting</w:t>
      </w:r>
    </w:p>
    <w:p>
      <w:pPr>
        <w:pStyle w:val="Compact"/>
        <w:numPr>
          <w:ilvl w:val="0"/>
          <w:numId w:val="30"/>
        </w:numPr>
        <w:rPr/>
      </w:pPr>
      <w:r>
        <w:rPr/>
        <w:t>Compliance consulting</w:t>
      </w:r>
    </w:p>
    <w:p>
      <w:pPr>
        <w:pStyle w:val="Compact"/>
        <w:numPr>
          <w:ilvl w:val="0"/>
          <w:numId w:val="31"/>
        </w:numPr>
        <w:rPr/>
      </w:pPr>
      <w:r>
        <w:rPr/>
        <w:t>Regulated-industry legal review</w:t>
      </w:r>
    </w:p>
    <w:p>
      <w:pPr>
        <w:pStyle w:val="Compact"/>
        <w:numPr>
          <w:ilvl w:val="0"/>
          <w:numId w:val="32"/>
        </w:numPr>
        <w:rPr/>
      </w:pPr>
      <w:r>
        <w:rPr/>
        <w:t>Hardware procurement</w:t>
      </w:r>
    </w:p>
    <w:p>
      <w:pPr>
        <w:pStyle w:val="Compact"/>
        <w:numPr>
          <w:ilvl w:val="0"/>
          <w:numId w:val="33"/>
        </w:numPr>
        <w:rPr/>
      </w:pPr>
      <w:r>
        <w:rPr/>
        <w:t>Private deployment architecture</w:t>
      </w:r>
    </w:p>
    <w:p>
      <w:pPr>
        <w:pStyle w:val="Compact"/>
        <w:numPr>
          <w:ilvl w:val="0"/>
          <w:numId w:val="34"/>
        </w:numPr>
        <w:rPr/>
      </w:pPr>
      <w:r>
        <w:rPr/>
        <w:t>Custom analytics engineering</w:t>
      </w:r>
    </w:p>
    <w:p>
      <w:pPr>
        <w:pStyle w:val="Heading2"/>
        <w:rPr/>
      </w:pPr>
      <w:bookmarkStart w:id="7" w:name="client-responsibilities"/>
      <w:r>
        <w:rPr/>
        <w:t>Client Responsibilities</w:t>
      </w:r>
      <w:bookmarkEnd w:id="7"/>
    </w:p>
    <w:p>
      <w:pPr>
        <w:pStyle w:val="FirstParagraph"/>
        <w:rPr/>
      </w:pPr>
      <w:r>
        <w:rPr/>
        <w:t>Client will provide:</w:t>
      </w:r>
    </w:p>
    <w:p>
      <w:pPr>
        <w:pStyle w:val="Compact"/>
        <w:numPr>
          <w:ilvl w:val="0"/>
          <w:numId w:val="35"/>
        </w:numPr>
        <w:rPr/>
      </w:pPr>
      <w:r>
        <w:rPr/>
        <w:t>Business hours</w:t>
      </w:r>
    </w:p>
    <w:p>
      <w:pPr>
        <w:pStyle w:val="Compact"/>
        <w:numPr>
          <w:ilvl w:val="0"/>
          <w:numId w:val="36"/>
        </w:numPr>
        <w:rPr/>
      </w:pPr>
      <w:r>
        <w:rPr/>
        <w:t>Escalation contacts</w:t>
      </w:r>
    </w:p>
    <w:p>
      <w:pPr>
        <w:pStyle w:val="Compact"/>
        <w:numPr>
          <w:ilvl w:val="0"/>
          <w:numId w:val="37"/>
        </w:numPr>
        <w:rPr/>
      </w:pPr>
      <w:r>
        <w:rPr/>
        <w:t>Preferred call-routing rules</w:t>
      </w:r>
    </w:p>
    <w:p>
      <w:pPr>
        <w:pStyle w:val="Compact"/>
        <w:numPr>
          <w:ilvl w:val="0"/>
          <w:numId w:val="38"/>
        </w:numPr>
        <w:rPr/>
      </w:pPr>
      <w:r>
        <w:rPr/>
        <w:t>Approved service descriptions</w:t>
      </w:r>
    </w:p>
    <w:p>
      <w:pPr>
        <w:pStyle w:val="Compact"/>
        <w:numPr>
          <w:ilvl w:val="0"/>
          <w:numId w:val="39"/>
        </w:numPr>
        <w:rPr/>
      </w:pPr>
      <w:r>
        <w:rPr/>
        <w:t>Any must-say / must-not-say boundaries</w:t>
      </w:r>
    </w:p>
    <w:p>
      <w:pPr>
        <w:pStyle w:val="Compact"/>
        <w:numPr>
          <w:ilvl w:val="0"/>
          <w:numId w:val="40"/>
        </w:numPr>
        <w:rPr/>
      </w:pPr>
      <w:r>
        <w:rPr/>
        <w:t>Any required credentials or forwarding access</w:t>
      </w:r>
    </w:p>
    <w:p>
      <w:pPr>
        <w:pStyle w:val="Compact"/>
        <w:numPr>
          <w:ilvl w:val="0"/>
          <w:numId w:val="41"/>
        </w:numPr>
        <w:rPr/>
      </w:pPr>
      <w:r>
        <w:rPr/>
        <w:t xml:space="preserve">Timely feedback during setup and </w:t>
      </w:r>
      <w:r>
        <w:rPr/>
        <w:t>initial</w:t>
      </w:r>
      <w:r>
        <w:rPr/>
        <w:t xml:space="preserve"> </w:t>
      </w:r>
      <w:r>
        <w:rPr/>
        <w:t xml:space="preserve">service </w:t>
      </w:r>
      <w:r>
        <w:rPr/>
        <w:t>tuning</w:t>
      </w:r>
    </w:p>
    <w:p>
      <w:pPr>
        <w:pStyle w:val="Heading2"/>
        <w:rPr/>
      </w:pPr>
      <w:bookmarkStart w:id="8" w:name="fees"/>
      <w:r>
        <w:rPr/>
        <w:t>Fees</w:t>
      </w:r>
      <w:bookmarkEnd w:id="8"/>
    </w:p>
    <w:p>
      <w:pPr>
        <w:pStyle w:val="Compact"/>
        <w:numPr>
          <w:ilvl w:val="0"/>
          <w:numId w:val="42"/>
        </w:numPr>
        <w:rPr/>
      </w:pPr>
      <w:r>
        <w:rPr/>
        <w:t>Setup Fee: $</w:t>
      </w:r>
      <w:r>
        <w:rPr/>
        <w:t>5,500</w:t>
      </w:r>
    </w:p>
    <w:p>
      <w:pPr>
        <w:pStyle w:val="Compact"/>
        <w:numPr>
          <w:ilvl w:val="0"/>
          <w:numId w:val="43"/>
        </w:numPr>
        <w:rPr/>
      </w:pPr>
      <w:r>
        <w:rPr/>
        <w:t>Deposit Due at Signing: $</w:t>
      </w:r>
      <w:r>
        <w:rPr/>
        <w:t>3</w:t>
      </w:r>
      <w:r>
        <w:rPr/>
        <w:t>,000</w:t>
      </w:r>
    </w:p>
    <w:p>
      <w:pPr>
        <w:pStyle w:val="Compact"/>
        <w:numPr>
          <w:ilvl w:val="0"/>
          <w:numId w:val="44"/>
        </w:numPr>
        <w:rPr/>
      </w:pPr>
      <w:r>
        <w:rPr/>
        <w:t>Remaining Setup Balance Due Before Go-Live: $1,5</w:t>
      </w:r>
      <w:r>
        <w:rPr/>
        <w:t>0</w:t>
      </w:r>
      <w:r>
        <w:rPr/>
        <w:t>0</w:t>
      </w:r>
    </w:p>
    <w:p>
      <w:pPr>
        <w:pStyle w:val="Compact"/>
        <w:numPr>
          <w:ilvl w:val="0"/>
          <w:numId w:val="45"/>
        </w:numPr>
        <w:rPr/>
      </w:pPr>
      <w:r>
        <w:rPr/>
        <w:t>Monthly Fee Beginning at Go-Live: $</w:t>
      </w:r>
      <w:r>
        <w:rPr/>
        <w:t>1,250</w:t>
      </w:r>
    </w:p>
    <w:p>
      <w:pPr>
        <w:pStyle w:val="Compact"/>
        <w:numPr>
          <w:ilvl w:val="0"/>
          <w:numId w:val="46"/>
        </w:numPr>
        <w:rPr/>
      </w:pPr>
      <w:r>
        <w:rPr/>
        <w:t>Third-Party Usage Fees: [included / billed separately]</w:t>
      </w:r>
    </w:p>
    <w:p>
      <w:pPr>
        <w:pStyle w:val="Heading2"/>
        <w:rPr/>
      </w:pPr>
      <w:bookmarkStart w:id="9" w:name="initial-service-term"/>
      <w:r>
        <w:rPr/>
        <w:t>Initial Service Term</w:t>
      </w:r>
      <w:bookmarkEnd w:id="9"/>
    </w:p>
    <w:p>
      <w:pPr>
        <w:pStyle w:val="FirstParagraph"/>
        <w:rPr/>
      </w:pPr>
      <w:r>
        <w:rPr/>
        <w:t>The initial service term shall be [3 months / 6 months] beginning on the go-live date.</w:t>
      </w:r>
    </w:p>
    <w:p>
      <w:pPr>
        <w:pStyle w:val="Heading2"/>
        <w:rPr/>
      </w:pPr>
      <w:bookmarkStart w:id="10" w:name="go-live"/>
      <w:r>
        <w:rPr/>
        <w:t>Go-Live</w:t>
      </w:r>
      <w:bookmarkEnd w:id="10"/>
    </w:p>
    <w:p>
      <w:pPr>
        <w:pStyle w:val="FirstParagraph"/>
        <w:rPr/>
      </w:pPr>
      <w:r>
        <w:rPr/>
        <w:t>Go-live occurs when the configured system is placed into production for the agreed inbound line(s) and AetherPro notifies Client that the service is active.</w:t>
      </w:r>
    </w:p>
    <w:p>
      <w:pPr>
        <w:pStyle w:val="Heading2"/>
        <w:rPr/>
      </w:pPr>
      <w:bookmarkStart w:id="11" w:name="pilot-window"/>
      <w:r>
        <w:rPr/>
        <w:t>I</w:t>
      </w:r>
      <w:bookmarkEnd w:id="11"/>
      <w:r>
        <w:rPr/>
        <w:t>nitial Service Window</w:t>
      </w:r>
    </w:p>
    <w:p>
      <w:pPr>
        <w:pStyle w:val="FirstParagraph"/>
        <w:rPr/>
      </w:pPr>
      <w:r>
        <w:rPr/>
        <w:t>The initial service window shall be thirty (30) calendar days from go-live unless otherwise stated.</w:t>
      </w:r>
    </w:p>
    <w:p>
      <w:pPr>
        <w:pStyle w:val="Heading2"/>
        <w:rPr/>
      </w:pPr>
      <w:r>
        <w:rPr/>
        <w:t>Initial Service</w:t>
      </w:r>
      <w:bookmarkStart w:id="12" w:name="pilot-assurance"/>
      <w:r>
        <w:rPr/>
        <w:t xml:space="preserve"> Assurance</w:t>
      </w:r>
      <w:bookmarkEnd w:id="12"/>
    </w:p>
    <w:p>
      <w:pPr>
        <w:pStyle w:val="FirstParagraph"/>
        <w:rPr/>
      </w:pPr>
      <w:r>
        <w:rPr/>
        <w:t xml:space="preserve">If AetherPro fails to deliver the agreed </w:t>
      </w:r>
      <w:r>
        <w:rPr/>
        <w:t>growth</w:t>
      </w:r>
      <w:r>
        <w:rPr/>
        <w:t xml:space="preserve"> deployment scope during the initial service window, AetherPro may, at its option: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1. Remediate the issue within a reasonable cure period, or</w:t>
      </w:r>
    </w:p>
    <w:p>
      <w:pPr>
        <w:pStyle w:val="TextBody"/>
        <w:rPr/>
      </w:pPr>
      <w:r>
        <w:rPr/>
        <w:t>2. Refund eligible fees actually paid for the starter deployment setup scope.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Refund eligibility excludes:</w:t>
      </w:r>
    </w:p>
    <w:p>
      <w:pPr>
        <w:pStyle w:val="TextBody"/>
        <w:rPr/>
      </w:pPr>
      <w:r>
        <w:rPr/>
        <w:t>- Telephony or carrier costs</w:t>
      </w:r>
    </w:p>
    <w:p>
      <w:pPr>
        <w:pStyle w:val="TextBody"/>
        <w:rPr/>
      </w:pPr>
      <w:r>
        <w:rPr/>
        <w:t>- Number provisioning costs</w:t>
      </w:r>
    </w:p>
    <w:p>
      <w:pPr>
        <w:pStyle w:val="TextBody"/>
        <w:rPr/>
      </w:pPr>
      <w:r>
        <w:rPr/>
        <w:t>- Third-party usage fees</w:t>
      </w:r>
    </w:p>
    <w:p>
      <w:pPr>
        <w:pStyle w:val="TextBody"/>
        <w:rPr/>
      </w:pPr>
      <w:r>
        <w:rPr/>
        <w:t>- Custom integration work already completed</w:t>
      </w:r>
    </w:p>
    <w:p>
      <w:pPr>
        <w:pStyle w:val="TextBody"/>
        <w:rPr/>
      </w:pPr>
      <w:r>
        <w:rPr/>
        <w:t>- Client-caused delays</w:t>
      </w:r>
    </w:p>
    <w:p>
      <w:pPr>
        <w:pStyle w:val="TextBody"/>
        <w:rPr/>
      </w:pPr>
      <w:r>
        <w:rPr/>
        <w:t>- Scope changes requested after project start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No refund applies where Client fails to provide required onboarding materials, routing logic, escalation contacts, approvals, or timely feedback necessary for deployment.</w:t>
      </w:r>
    </w:p>
    <w:p>
      <w:pPr>
        <w:pStyle w:val="Heading2"/>
        <w:rPr/>
      </w:pPr>
      <w:bookmarkStart w:id="13" w:name="acceptance"/>
      <w:r>
        <w:rPr/>
        <w:t>Acceptance</w:t>
      </w:r>
      <w:bookmarkEnd w:id="13"/>
    </w:p>
    <w:p>
      <w:pPr>
        <w:pStyle w:val="FirstParagraph"/>
        <w:rPr/>
      </w:pPr>
      <w:r>
        <w:rPr/>
        <w:t>Client acknowledges that minor tuning, prompt changes, and routing adjustments are normal during initial rollout and do not by themselves constitute delivery failure.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bookmarkStart w:id="14" w:name="signature-block"/>
      <w:r>
        <w:rPr/>
        <w:t>Signature Block</w:t>
      </w:r>
      <w:bookmarkEnd w:id="14"/>
    </w:p>
    <w:p>
      <w:pPr>
        <w:pStyle w:val="FirstParagraph"/>
        <w:rPr/>
      </w:pPr>
      <w:r>
        <w:rPr/>
        <w:t>Accepted and agreed:</w:t>
      </w:r>
    </w:p>
    <w:p>
      <w:pPr>
        <w:pStyle w:val="TextBody"/>
        <w:rPr/>
      </w:pPr>
      <w:r>
        <w:rPr>
          <w:b/>
        </w:rPr>
        <w:t>AetherPro Technologies LLC</w:t>
      </w:r>
    </w:p>
    <w:p>
      <w:pPr>
        <w:pStyle w:val="TextBody"/>
        <w:rPr/>
      </w:pPr>
      <w:r>
        <w:rPr/>
        <w:t>By: ______________________________</w:t>
        <w:br/>
        <w:t>Name: ___________________________</w:t>
        <w:br/>
        <w:t>Title:  Authorized Representative</w:t>
        <w:br/>
        <w:t>Date: ____________________________</w:t>
      </w:r>
    </w:p>
    <w:p>
      <w:pPr>
        <w:pStyle w:val="TextBody"/>
        <w:rPr/>
      </w:pPr>
      <w:r>
        <w:rPr>
          <w:b/>
        </w:rPr>
        <w:t>[Client Legal Name]</w:t>
      </w:r>
    </w:p>
    <w:p>
      <w:pPr>
        <w:pStyle w:val="TextBody"/>
        <w:spacing w:before="180" w:after="180"/>
        <w:rPr/>
      </w:pPr>
      <w:r>
        <w:rPr/>
        <w:t>By: ______________________________</w:t>
        <w:br/>
        <w:t>Name: ____________________________</w:t>
        <w:br/>
        <w:t>Title: _____________________________</w:t>
        <w:br/>
        <w:t>Date: ____________________________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2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TextBody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TextBody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TextBody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TextBody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TextBody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7">
    <w:name w:val="Heading 7"/>
    <w:basedOn w:val="Normal"/>
    <w:next w:val="TextBody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TextBody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TextBody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TextBody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TextBody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LibreOffice/7.3.7.2$Linux_X86_64 LibreOffice_project/30$Build-2</Application>
  <AppVersion>15.0000</AppVersion>
  <Pages>4</Pages>
  <Words>476</Words>
  <Characters>2962</Characters>
  <CharactersWithSpaces>3336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2026-04-06T17:32:24Z</dcterms:created>
  <dc:creator/>
  <dc:description/>
  <dc:language>en-US</dc:language>
  <cp:lastModifiedBy/>
  <dcterms:modified xsi:type="dcterms:W3CDTF">2026-04-10T13:46:28Z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