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371600" cy="1371600"/>
            <wp:effectExtent b="0" l="0" r="0" t="0"/>
            <wp:docPr descr="Syndicate AI Voice Agents" title="" id="1" name="Picture"/>
            <a:graphic>
              <a:graphicData uri="http://schemas.openxmlformats.org/drawingml/2006/picture">
                <pic:pic>
                  <pic:nvPicPr>
                    <pic:cNvPr descr="https://syndicateai.co/brand/logo_transpar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Syndicate AI Voice Agents</w:t>
      </w:r>
    </w:p>
    <w:p>
      <w:pPr>
        <w:pStyle w:val="Heading1"/>
      </w:pPr>
      <w:bookmarkStart w:id="21" w:name="syndicate-ai-voice-agents"/>
      <w:r>
        <w:t xml:space="preserve">Syndicate AI Voice Agents</w:t>
      </w:r>
      <w:bookmarkEnd w:id="21"/>
    </w:p>
    <w:p>
      <w:pPr>
        <w:pStyle w:val="Heading2"/>
      </w:pPr>
      <w:bookmarkStart w:id="22" w:name="client-onboarding-checklist"/>
      <w:r>
        <w:t xml:space="preserve">Client Onboarding Checklist</w:t>
      </w:r>
      <w:bookmarkEnd w:id="22"/>
    </w:p>
    <w:p>
      <w:pPr>
        <w:pStyle w:val="Heading2"/>
      </w:pPr>
      <w:bookmarkStart w:id="23" w:name="business-information"/>
      <w:r>
        <w:t xml:space="preserve">Business Information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Legal business name</w:t>
      </w:r>
    </w:p>
    <w:p>
      <w:pPr>
        <w:numPr>
          <w:ilvl w:val="0"/>
          <w:numId w:val="1001"/>
        </w:numPr>
        <w:pStyle w:val="Compact"/>
      </w:pPr>
      <w:r>
        <w:t xml:space="preserve">Public business name</w:t>
      </w:r>
    </w:p>
    <w:p>
      <w:pPr>
        <w:numPr>
          <w:ilvl w:val="0"/>
          <w:numId w:val="1001"/>
        </w:numPr>
        <w:pStyle w:val="Compact"/>
      </w:pPr>
      <w:r>
        <w:t xml:space="preserve">Primary contact</w:t>
      </w:r>
    </w:p>
    <w:p>
      <w:pPr>
        <w:numPr>
          <w:ilvl w:val="0"/>
          <w:numId w:val="1001"/>
        </w:numPr>
        <w:pStyle w:val="Compact"/>
      </w:pPr>
      <w:r>
        <w:t xml:space="preserve">Billing contact</w:t>
      </w:r>
    </w:p>
    <w:p>
      <w:pPr>
        <w:numPr>
          <w:ilvl w:val="0"/>
          <w:numId w:val="1001"/>
        </w:numPr>
        <w:pStyle w:val="Compact"/>
      </w:pPr>
      <w:r>
        <w:t xml:space="preserve">Phone number(s) to support</w:t>
      </w:r>
    </w:p>
    <w:p>
      <w:pPr>
        <w:numPr>
          <w:ilvl w:val="0"/>
          <w:numId w:val="1001"/>
        </w:numPr>
        <w:pStyle w:val="Compact"/>
      </w:pPr>
      <w:r>
        <w:t xml:space="preserve">Service area</w:t>
      </w:r>
    </w:p>
    <w:p>
      <w:pPr>
        <w:numPr>
          <w:ilvl w:val="0"/>
          <w:numId w:val="1001"/>
        </w:numPr>
        <w:pStyle w:val="Compact"/>
      </w:pPr>
      <w:r>
        <w:t xml:space="preserve">Website</w:t>
      </w:r>
    </w:p>
    <w:p>
      <w:pPr>
        <w:numPr>
          <w:ilvl w:val="0"/>
          <w:numId w:val="1001"/>
        </w:numPr>
        <w:pStyle w:val="Compact"/>
      </w:pPr>
      <w:r>
        <w:t xml:space="preserve">Business hours</w:t>
      </w:r>
    </w:p>
    <w:p>
      <w:pPr>
        <w:numPr>
          <w:ilvl w:val="0"/>
          <w:numId w:val="1001"/>
        </w:numPr>
        <w:pStyle w:val="Compact"/>
      </w:pPr>
      <w:r>
        <w:t xml:space="preserve">After-hours instructions</w:t>
      </w:r>
    </w:p>
    <w:p>
      <w:pPr>
        <w:pStyle w:val="Heading2"/>
      </w:pPr>
      <w:bookmarkStart w:id="24" w:name="call-handling"/>
      <w:r>
        <w:t xml:space="preserve">Call Handling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What types of calls should the agent handle?</w:t>
      </w:r>
    </w:p>
    <w:p>
      <w:pPr>
        <w:numPr>
          <w:ilvl w:val="0"/>
          <w:numId w:val="1002"/>
        </w:numPr>
        <w:pStyle w:val="Compact"/>
      </w:pPr>
      <w:r>
        <w:t xml:space="preserve">What types of calls should be escalated immediately?</w:t>
      </w:r>
    </w:p>
    <w:p>
      <w:pPr>
        <w:numPr>
          <w:ilvl w:val="0"/>
          <w:numId w:val="1002"/>
        </w:numPr>
        <w:pStyle w:val="Compact"/>
      </w:pPr>
      <w:r>
        <w:t xml:space="preserve">What should the agent never say?</w:t>
      </w:r>
    </w:p>
    <w:p>
      <w:pPr>
        <w:numPr>
          <w:ilvl w:val="0"/>
          <w:numId w:val="1002"/>
        </w:numPr>
        <w:pStyle w:val="Compact"/>
      </w:pPr>
      <w:r>
        <w:t xml:space="preserve">What services do you offer?</w:t>
      </w:r>
    </w:p>
    <w:p>
      <w:pPr>
        <w:numPr>
          <w:ilvl w:val="0"/>
          <w:numId w:val="1002"/>
        </w:numPr>
        <w:pStyle w:val="Compact"/>
      </w:pPr>
      <w:r>
        <w:t xml:space="preserve">What areas do you serve?</w:t>
      </w:r>
    </w:p>
    <w:p>
      <w:pPr>
        <w:numPr>
          <w:ilvl w:val="0"/>
          <w:numId w:val="1002"/>
        </w:numPr>
        <w:pStyle w:val="Compact"/>
      </w:pPr>
      <w:r>
        <w:t xml:space="preserve">Do you want appointment requests captured?</w:t>
      </w:r>
    </w:p>
    <w:p>
      <w:pPr>
        <w:numPr>
          <w:ilvl w:val="0"/>
          <w:numId w:val="1002"/>
        </w:numPr>
        <w:pStyle w:val="Compact"/>
      </w:pPr>
      <w:r>
        <w:t xml:space="preserve">Do you want emergency calls transferred live?</w:t>
      </w:r>
    </w:p>
    <w:p>
      <w:pPr>
        <w:numPr>
          <w:ilvl w:val="0"/>
          <w:numId w:val="1002"/>
        </w:numPr>
        <w:pStyle w:val="Compact"/>
      </w:pPr>
      <w:r>
        <w:t xml:space="preserve">Which number(s) should receive summaries?</w:t>
      </w:r>
    </w:p>
    <w:p>
      <w:pPr>
        <w:numPr>
          <w:ilvl w:val="0"/>
          <w:numId w:val="1002"/>
        </w:numPr>
        <w:pStyle w:val="Compact"/>
      </w:pPr>
      <w:r>
        <w:t xml:space="preserve">Which number(s) should receive escalations?</w:t>
      </w:r>
    </w:p>
    <w:p>
      <w:pPr>
        <w:pStyle w:val="Heading2"/>
      </w:pPr>
      <w:bookmarkStart w:id="25" w:name="messaging-summary"/>
      <w:r>
        <w:t xml:space="preserve">Messaging / Summary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SMS summary recipients</w:t>
      </w:r>
    </w:p>
    <w:p>
      <w:pPr>
        <w:numPr>
          <w:ilvl w:val="0"/>
          <w:numId w:val="1003"/>
        </w:numPr>
        <w:pStyle w:val="Compact"/>
      </w:pPr>
      <w:r>
        <w:t xml:space="preserve">Email summary recipients</w:t>
      </w:r>
    </w:p>
    <w:p>
      <w:pPr>
        <w:numPr>
          <w:ilvl w:val="0"/>
          <w:numId w:val="1003"/>
        </w:numPr>
        <w:pStyle w:val="Compact"/>
      </w:pPr>
      <w:r>
        <w:t xml:space="preserve">Preferred summary format</w:t>
      </w:r>
    </w:p>
    <w:p>
      <w:pPr>
        <w:numPr>
          <w:ilvl w:val="0"/>
          <w:numId w:val="1003"/>
        </w:numPr>
        <w:pStyle w:val="Compact"/>
      </w:pPr>
      <w:r>
        <w:t xml:space="preserve">Required intake fields</w:t>
      </w:r>
    </w:p>
    <w:p>
      <w:pPr>
        <w:numPr>
          <w:ilvl w:val="0"/>
          <w:numId w:val="1003"/>
        </w:numPr>
        <w:pStyle w:val="Compact"/>
      </w:pPr>
      <w:r>
        <w:t xml:space="preserve">Required qualifiers</w:t>
      </w:r>
    </w:p>
    <w:p>
      <w:pPr>
        <w:pStyle w:val="Heading2"/>
      </w:pPr>
      <w:bookmarkStart w:id="26" w:name="approval"/>
      <w:r>
        <w:t xml:space="preserve">Approval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Client confirms business rules are accurate</w:t>
      </w:r>
    </w:p>
    <w:p>
      <w:pPr>
        <w:numPr>
          <w:ilvl w:val="0"/>
          <w:numId w:val="1004"/>
        </w:numPr>
        <w:pStyle w:val="Compact"/>
      </w:pPr>
      <w:r>
        <w:t xml:space="preserve">Client confirms escalation contacts are correct</w:t>
      </w:r>
    </w:p>
    <w:p>
      <w:pPr>
        <w:numPr>
          <w:ilvl w:val="0"/>
          <w:numId w:val="1004"/>
        </w:numPr>
        <w:pStyle w:val="Compact"/>
      </w:pPr>
      <w:r>
        <w:t xml:space="preserve">Client confirms call handling assumptions are approved for rollout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Syndicate AI Voice Agents</w:t>
      </w:r>
      <w:r>
        <w:br/>
      </w:r>
      <w:r>
        <w:rPr>
          <w:i/>
        </w:rPr>
        <w:t xml:space="preserve">A service of AetherPro Technologies LLC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2026-04-06T17:32:20Z</dcterms:created>
  <dcterms:modified xsi:type="dcterms:W3CDTF">2026-04-06T17:32:20Z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