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371600" cy="1371600"/>
            <wp:effectExtent b="0" l="0" r="0" t="0"/>
            <wp:docPr descr="Syndicate AI Voice Agents" title="" id="1" name="Picture"/>
            <a:graphic>
              <a:graphicData uri="http://schemas.openxmlformats.org/drawingml/2006/picture">
                <pic:pic>
                  <pic:nvPicPr>
                    <pic:cNvPr descr="https://syndicateai.co/brand/logo_transpa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Syndicate AI Voice Agents</w:t>
      </w:r>
    </w:p>
    <w:p>
      <w:pPr>
        <w:pStyle w:val="Heading1"/>
      </w:pPr>
      <w:bookmarkStart w:id="21" w:name="syndicate-ai-voice-agents"/>
      <w:r>
        <w:t xml:space="preserve">Syndicate AI Voice Agents</w:t>
      </w:r>
      <w:bookmarkEnd w:id="21"/>
    </w:p>
    <w:p>
      <w:pPr>
        <w:pStyle w:val="Heading2"/>
      </w:pPr>
      <w:bookmarkStart w:id="22" w:name="payment-and-rollout-terms"/>
      <w:r>
        <w:t xml:space="preserve">Payment and Rollout Terms</w:t>
      </w:r>
      <w:bookmarkEnd w:id="22"/>
    </w:p>
    <w:p>
      <w:pPr>
        <w:pStyle w:val="FirstParagraph"/>
      </w:pPr>
      <w:r>
        <w:t xml:space="preserve">To begin work, Client must complete the following:</w:t>
      </w:r>
    </w:p>
    <w:p>
      <w:pPr>
        <w:numPr>
          <w:ilvl w:val="0"/>
          <w:numId w:val="1001"/>
        </w:numPr>
        <w:pStyle w:val="Compact"/>
      </w:pPr>
      <w:r>
        <w:t xml:space="preserve">Sign the Master Services Agreement</w:t>
      </w:r>
    </w:p>
    <w:p>
      <w:pPr>
        <w:numPr>
          <w:ilvl w:val="0"/>
          <w:numId w:val="1001"/>
        </w:numPr>
        <w:pStyle w:val="Compact"/>
      </w:pPr>
      <w:r>
        <w:t xml:space="preserve">Sign the applicable Statement of Work</w:t>
      </w:r>
    </w:p>
    <w:p>
      <w:pPr>
        <w:numPr>
          <w:ilvl w:val="0"/>
          <w:numId w:val="1001"/>
        </w:numPr>
        <w:pStyle w:val="Compact"/>
      </w:pPr>
      <w:r>
        <w:t xml:space="preserve">Pay the required deposit</w:t>
      </w:r>
    </w:p>
    <w:p>
      <w:pPr>
        <w:numPr>
          <w:ilvl w:val="0"/>
          <w:numId w:val="1001"/>
        </w:numPr>
        <w:pStyle w:val="Compact"/>
      </w:pPr>
      <w:r>
        <w:t xml:space="preserve">Submit onboarding and routing information</w:t>
      </w:r>
    </w:p>
    <w:p>
      <w:pPr>
        <w:pStyle w:val="Heading2"/>
      </w:pPr>
      <w:bookmarkStart w:id="23" w:name="default-payment-structure"/>
      <w:r>
        <w:t xml:space="preserve">Default Payment Structure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Deposit due at signing</w:t>
      </w:r>
    </w:p>
    <w:p>
      <w:pPr>
        <w:numPr>
          <w:ilvl w:val="0"/>
          <w:numId w:val="1002"/>
        </w:numPr>
        <w:pStyle w:val="Compact"/>
      </w:pPr>
      <w:r>
        <w:t xml:space="preserve">Remaining setup balance due before go-live</w:t>
      </w:r>
    </w:p>
    <w:p>
      <w:pPr>
        <w:numPr>
          <w:ilvl w:val="0"/>
          <w:numId w:val="1002"/>
        </w:numPr>
        <w:pStyle w:val="Compact"/>
      </w:pPr>
      <w:r>
        <w:t xml:space="preserve">Monthly fee begins at go-live</w:t>
      </w:r>
    </w:p>
    <w:p>
      <w:pPr>
        <w:numPr>
          <w:ilvl w:val="0"/>
          <w:numId w:val="1002"/>
        </w:numPr>
        <w:pStyle w:val="Compact"/>
      </w:pPr>
      <w:r>
        <w:t xml:space="preserve">Third-party costs billed separately unless included in writing</w:t>
      </w:r>
    </w:p>
    <w:p>
      <w:pPr>
        <w:pStyle w:val="Heading2"/>
      </w:pPr>
      <w:bookmarkStart w:id="24" w:name="late-payments"/>
      <w:r>
        <w:t xml:space="preserve">Late Payments</w:t>
      </w:r>
      <w:bookmarkEnd w:id="24"/>
    </w:p>
    <w:p>
      <w:pPr>
        <w:pStyle w:val="FirstParagraph"/>
      </w:pPr>
      <w:r>
        <w:t xml:space="preserve">Late or unpaid balances may delay onboarding, pause implementation, block go-live, or suspend live service.</w:t>
      </w:r>
    </w:p>
    <w:p>
      <w:pPr>
        <w:pStyle w:val="Heading2"/>
      </w:pPr>
      <w:bookmarkStart w:id="25" w:name="accepted-payment-methods"/>
      <w:r>
        <w:t xml:space="preserve">Accepted Payment Methods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ACH</w:t>
      </w:r>
    </w:p>
    <w:p>
      <w:pPr>
        <w:numPr>
          <w:ilvl w:val="0"/>
          <w:numId w:val="1003"/>
        </w:numPr>
        <w:pStyle w:val="Compact"/>
      </w:pPr>
      <w:r>
        <w:t xml:space="preserve">Wire</w:t>
      </w:r>
    </w:p>
    <w:p>
      <w:pPr>
        <w:numPr>
          <w:ilvl w:val="0"/>
          <w:numId w:val="1003"/>
        </w:numPr>
        <w:pStyle w:val="Compact"/>
      </w:pPr>
      <w:r>
        <w:t xml:space="preserve">Card payment</w:t>
      </w:r>
    </w:p>
    <w:p>
      <w:pPr>
        <w:numPr>
          <w:ilvl w:val="0"/>
          <w:numId w:val="1003"/>
        </w:numPr>
        <w:pStyle w:val="Compact"/>
      </w:pPr>
      <w:r>
        <w:t xml:space="preserve">Invoice link, where available</w:t>
      </w:r>
    </w:p>
    <w:p>
      <w:pPr>
        <w:pStyle w:val="Heading2"/>
      </w:pPr>
      <w:bookmarkStart w:id="26" w:name="rollout-sequence"/>
      <w:r>
        <w:t xml:space="preserve">Rollout Sequence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Signed agreement</w:t>
      </w:r>
    </w:p>
    <w:p>
      <w:pPr>
        <w:numPr>
          <w:ilvl w:val="0"/>
          <w:numId w:val="1004"/>
        </w:numPr>
        <w:pStyle w:val="Compact"/>
      </w:pPr>
      <w:r>
        <w:t xml:space="preserve">Paid deposit</w:t>
      </w:r>
    </w:p>
    <w:p>
      <w:pPr>
        <w:numPr>
          <w:ilvl w:val="0"/>
          <w:numId w:val="1004"/>
        </w:numPr>
        <w:pStyle w:val="Compact"/>
      </w:pPr>
      <w:r>
        <w:t xml:space="preserve">Onboarding intake</w:t>
      </w:r>
    </w:p>
    <w:p>
      <w:pPr>
        <w:numPr>
          <w:ilvl w:val="0"/>
          <w:numId w:val="1004"/>
        </w:numPr>
        <w:pStyle w:val="Compact"/>
      </w:pPr>
      <w:r>
        <w:t xml:space="preserve">Configuration</w:t>
      </w:r>
    </w:p>
    <w:p>
      <w:pPr>
        <w:numPr>
          <w:ilvl w:val="0"/>
          <w:numId w:val="1004"/>
        </w:numPr>
        <w:pStyle w:val="Compact"/>
      </w:pPr>
      <w:r>
        <w:t xml:space="preserve">Review / tuning</w:t>
      </w:r>
    </w:p>
    <w:p>
      <w:pPr>
        <w:numPr>
          <w:ilvl w:val="0"/>
          <w:numId w:val="1004"/>
        </w:numPr>
        <w:pStyle w:val="Compact"/>
      </w:pPr>
      <w:r>
        <w:t xml:space="preserve">Go-live</w:t>
      </w:r>
    </w:p>
    <w:p>
      <w:pPr>
        <w:numPr>
          <w:ilvl w:val="0"/>
          <w:numId w:val="1004"/>
        </w:numPr>
        <w:pStyle w:val="Compact"/>
      </w:pPr>
      <w:r>
        <w:t xml:space="preserve">Post-launch tuning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Syndicate AI Voice Agents</w:t>
      </w:r>
      <w:r>
        <w:br/>
      </w:r>
      <w:r>
        <w:rPr>
          <w:i/>
        </w:rPr>
        <w:t xml:space="preserve">A service of AetherPro Technologies LLC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2026-04-06T17:32:21Z</dcterms:created>
  <dcterms:modified xsi:type="dcterms:W3CDTF">2026-04-06T17:32:21Z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