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1371600" cy="1371600"/>
            <wp:effectExtent b="0" l="0" r="0" t="0"/>
            <wp:docPr descr="Syndicate AI Voice Agents" title="" id="1" name="Picture"/>
            <a:graphic>
              <a:graphicData uri="http://schemas.openxmlformats.org/drawingml/2006/picture">
                <pic:pic>
                  <pic:nvPicPr>
                    <pic:cNvPr descr="https://syndicateai.co/brand/logo_transpar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Syndicate AI Voice Agents</w:t>
      </w:r>
    </w:p>
    <w:p>
      <w:pPr>
        <w:pStyle w:val="Heading1"/>
      </w:pPr>
      <w:bookmarkStart w:id="21" w:name="syndicate-ai-voice-agents"/>
      <w:r>
        <w:t xml:space="preserve">Syndicate AI Voice Agents</w:t>
      </w:r>
      <w:bookmarkEnd w:id="21"/>
    </w:p>
    <w:p>
      <w:pPr>
        <w:pStyle w:val="FirstParagraph"/>
      </w:pPr>
      <w:r>
        <w:rPr>
          <w:b/>
        </w:rPr>
        <w:t xml:space="preserve">Voice agents that answer, qualify, and capture revenue while your team keeps moving.</w:t>
      </w:r>
      <w:r>
        <w:br/>
      </w:r>
      <w:r>
        <w:rPr>
          <w:i/>
        </w:rPr>
        <w:t xml:space="preserve">A service of AetherPro Technologies LLC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arter-pilot"/>
      <w:r>
        <w:t xml:space="preserve">Starter Pilot</w:t>
      </w:r>
      <w:bookmarkEnd w:id="22"/>
    </w:p>
    <w:p>
      <w:pPr>
        <w:pStyle w:val="FirstParagraph"/>
      </w:pPr>
      <w:r>
        <w:rPr>
          <w:b/>
        </w:rPr>
        <w:t xml:space="preserve">$3,500 setup + $750/month</w:t>
      </w:r>
    </w:p>
    <w:p>
      <w:pPr>
        <w:pStyle w:val="BodyText"/>
      </w:pPr>
      <w:r>
        <w:t xml:space="preserve">Built for smaller deployments that need immediate call coverage improvement without complex routing.</w:t>
      </w:r>
    </w:p>
    <w:p>
      <w:pPr>
        <w:pStyle w:val="Heading3"/>
      </w:pPr>
      <w:bookmarkStart w:id="23" w:name="includes"/>
      <w:r>
        <w:t xml:space="preserve">Includes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One business line or one routed inbound number</w:t>
      </w:r>
    </w:p>
    <w:p>
      <w:pPr>
        <w:numPr>
          <w:ilvl w:val="0"/>
          <w:numId w:val="1001"/>
        </w:numPr>
        <w:pStyle w:val="Compact"/>
      </w:pPr>
      <w:r>
        <w:t xml:space="preserve">After-hours and overflow call handling</w:t>
      </w:r>
    </w:p>
    <w:p>
      <w:pPr>
        <w:numPr>
          <w:ilvl w:val="0"/>
          <w:numId w:val="1001"/>
        </w:numPr>
        <w:pStyle w:val="Compact"/>
      </w:pPr>
      <w:r>
        <w:t xml:space="preserve">Structured intake capture</w:t>
      </w:r>
    </w:p>
    <w:p>
      <w:pPr>
        <w:numPr>
          <w:ilvl w:val="0"/>
          <w:numId w:val="1001"/>
        </w:numPr>
        <w:pStyle w:val="Compact"/>
      </w:pPr>
      <w:r>
        <w:t xml:space="preserve">SMS and/or email summaries</w:t>
      </w:r>
    </w:p>
    <w:p>
      <w:pPr>
        <w:numPr>
          <w:ilvl w:val="0"/>
          <w:numId w:val="1001"/>
        </w:numPr>
        <w:pStyle w:val="Compact"/>
      </w:pPr>
      <w:r>
        <w:t xml:space="preserve">Business-hours logic</w:t>
      </w:r>
    </w:p>
    <w:p>
      <w:pPr>
        <w:numPr>
          <w:ilvl w:val="0"/>
          <w:numId w:val="1001"/>
        </w:numPr>
        <w:pStyle w:val="Compact"/>
      </w:pPr>
      <w:r>
        <w:t xml:space="preserve">One primary escalation path</w:t>
      </w:r>
    </w:p>
    <w:p>
      <w:pPr>
        <w:numPr>
          <w:ilvl w:val="0"/>
          <w:numId w:val="1001"/>
        </w:numPr>
        <w:pStyle w:val="Compact"/>
      </w:pPr>
      <w:r>
        <w:t xml:space="preserve">Pilot rollout and tuning</w:t>
      </w:r>
    </w:p>
    <w:p>
      <w:pPr>
        <w:pStyle w:val="Heading3"/>
      </w:pPr>
      <w:bookmarkStart w:id="24" w:name="payment-terms"/>
      <w:r>
        <w:t xml:space="preserve">Payment Terms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$2,000 deposit to begin</w:t>
      </w:r>
    </w:p>
    <w:p>
      <w:pPr>
        <w:numPr>
          <w:ilvl w:val="0"/>
          <w:numId w:val="1002"/>
        </w:numPr>
        <w:pStyle w:val="Compact"/>
      </w:pPr>
      <w:r>
        <w:t xml:space="preserve">$1,500 due before go-live</w:t>
      </w:r>
    </w:p>
    <w:p>
      <w:pPr>
        <w:numPr>
          <w:ilvl w:val="0"/>
          <w:numId w:val="1002"/>
        </w:numPr>
        <w:pStyle w:val="Compact"/>
      </w:pPr>
      <w:r>
        <w:t xml:space="preserve">$750/month begins at go-live</w:t>
      </w:r>
    </w:p>
    <w:p>
      <w:pPr>
        <w:numPr>
          <w:ilvl w:val="0"/>
          <w:numId w:val="1002"/>
        </w:numPr>
        <w:pStyle w:val="Compact"/>
      </w:pPr>
      <w:r>
        <w:t xml:space="preserve">3-month minimum service term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growth"/>
      <w:r>
        <w:t xml:space="preserve">Growth</w:t>
      </w:r>
      <w:bookmarkEnd w:id="25"/>
    </w:p>
    <w:p>
      <w:pPr>
        <w:pStyle w:val="FirstParagraph"/>
      </w:pPr>
      <w:r>
        <w:rPr>
          <w:b/>
        </w:rPr>
        <w:t xml:space="preserve">$5,500 setup + $1,250/month</w:t>
      </w:r>
    </w:p>
    <w:p>
      <w:pPr>
        <w:pStyle w:val="BodyText"/>
      </w:pPr>
      <w:r>
        <w:t xml:space="preserve">Built for service businesses with meaningful call volume and more routing complexity.</w:t>
      </w:r>
    </w:p>
    <w:p>
      <w:pPr>
        <w:pStyle w:val="Heading3"/>
      </w:pPr>
      <w:bookmarkStart w:id="26" w:name="includes-1"/>
      <w:r>
        <w:t xml:space="preserve">Includes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Everything in Starter</w:t>
      </w:r>
    </w:p>
    <w:p>
      <w:pPr>
        <w:numPr>
          <w:ilvl w:val="0"/>
          <w:numId w:val="1003"/>
        </w:numPr>
        <w:pStyle w:val="Compact"/>
      </w:pPr>
      <w:r>
        <w:t xml:space="preserve">Multi-intent qualification</w:t>
      </w:r>
    </w:p>
    <w:p>
      <w:pPr>
        <w:numPr>
          <w:ilvl w:val="0"/>
          <w:numId w:val="1003"/>
        </w:numPr>
        <w:pStyle w:val="Compact"/>
      </w:pPr>
      <w:r>
        <w:t xml:space="preserve">Transfer logic</w:t>
      </w:r>
    </w:p>
    <w:p>
      <w:pPr>
        <w:numPr>
          <w:ilvl w:val="0"/>
          <w:numId w:val="1003"/>
        </w:numPr>
        <w:pStyle w:val="Compact"/>
      </w:pPr>
      <w:r>
        <w:t xml:space="preserve">Service-area and job-type capture</w:t>
      </w:r>
    </w:p>
    <w:p>
      <w:pPr>
        <w:numPr>
          <w:ilvl w:val="0"/>
          <w:numId w:val="1003"/>
        </w:numPr>
        <w:pStyle w:val="Compact"/>
      </w:pPr>
      <w:r>
        <w:t xml:space="preserve">Intake form mapping</w:t>
      </w:r>
    </w:p>
    <w:p>
      <w:pPr>
        <w:numPr>
          <w:ilvl w:val="0"/>
          <w:numId w:val="1003"/>
        </w:numPr>
        <w:pStyle w:val="Compact"/>
      </w:pPr>
      <w:r>
        <w:t xml:space="preserve">Business-hours and after-hours branching</w:t>
      </w:r>
    </w:p>
    <w:p>
      <w:pPr>
        <w:numPr>
          <w:ilvl w:val="0"/>
          <w:numId w:val="1003"/>
        </w:numPr>
        <w:pStyle w:val="Compact"/>
      </w:pPr>
      <w:r>
        <w:t xml:space="preserve">Limited workflow follow-up</w:t>
      </w:r>
    </w:p>
    <w:p>
      <w:pPr>
        <w:numPr>
          <w:ilvl w:val="0"/>
          <w:numId w:val="1003"/>
        </w:numPr>
        <w:pStyle w:val="Compact"/>
      </w:pPr>
      <w:r>
        <w:t xml:space="preserve">Light reporting and rollout tuning</w:t>
      </w:r>
    </w:p>
    <w:p>
      <w:pPr>
        <w:pStyle w:val="Heading3"/>
      </w:pPr>
      <w:bookmarkStart w:id="27" w:name="payment-terms-1"/>
      <w:r>
        <w:t xml:space="preserve">Payment Terms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$3,000 deposit to begin</w:t>
      </w:r>
    </w:p>
    <w:p>
      <w:pPr>
        <w:numPr>
          <w:ilvl w:val="0"/>
          <w:numId w:val="1004"/>
        </w:numPr>
        <w:pStyle w:val="Compact"/>
      </w:pPr>
      <w:r>
        <w:t xml:space="preserve">$2,500 due before go-live</w:t>
      </w:r>
    </w:p>
    <w:p>
      <w:pPr>
        <w:numPr>
          <w:ilvl w:val="0"/>
          <w:numId w:val="1004"/>
        </w:numPr>
        <w:pStyle w:val="Compact"/>
      </w:pPr>
      <w:r>
        <w:t xml:space="preserve">$1,250/month begins at go-live</w:t>
      </w:r>
    </w:p>
    <w:p>
      <w:pPr>
        <w:numPr>
          <w:ilvl w:val="0"/>
          <w:numId w:val="1004"/>
        </w:numPr>
        <w:pStyle w:val="Compact"/>
      </w:pPr>
      <w:r>
        <w:t xml:space="preserve">3-month minimum service term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operator"/>
      <w:r>
        <w:t xml:space="preserve">Operator</w:t>
      </w:r>
      <w:bookmarkEnd w:id="28"/>
    </w:p>
    <w:p>
      <w:pPr>
        <w:pStyle w:val="FirstParagraph"/>
      </w:pPr>
      <w:r>
        <w:rPr>
          <w:b/>
        </w:rPr>
        <w:t xml:space="preserve">Starting at $8,500 setup + $2,000/month</w:t>
      </w:r>
    </w:p>
    <w:p>
      <w:pPr>
        <w:pStyle w:val="BodyText"/>
      </w:pPr>
      <w:r>
        <w:t xml:space="preserve">Built for higher-complexity operators, multi-line deployments, and custom routing logic.</w:t>
      </w:r>
    </w:p>
    <w:p>
      <w:pPr>
        <w:pStyle w:val="Heading3"/>
      </w:pPr>
      <w:bookmarkStart w:id="29" w:name="includes-2"/>
      <w:r>
        <w:t xml:space="preserve">Includes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Everything in Growth</w:t>
      </w:r>
    </w:p>
    <w:p>
      <w:pPr>
        <w:numPr>
          <w:ilvl w:val="0"/>
          <w:numId w:val="1005"/>
        </w:numPr>
        <w:pStyle w:val="Compact"/>
      </w:pPr>
      <w:r>
        <w:t xml:space="preserve">Advanced call flows</w:t>
      </w:r>
    </w:p>
    <w:p>
      <w:pPr>
        <w:numPr>
          <w:ilvl w:val="0"/>
          <w:numId w:val="1005"/>
        </w:numPr>
        <w:pStyle w:val="Compact"/>
      </w:pPr>
      <w:r>
        <w:t xml:space="preserve">Multi-number or multi-location support</w:t>
      </w:r>
    </w:p>
    <w:p>
      <w:pPr>
        <w:numPr>
          <w:ilvl w:val="0"/>
          <w:numId w:val="1005"/>
        </w:numPr>
        <w:pStyle w:val="Compact"/>
      </w:pPr>
      <w:r>
        <w:t xml:space="preserve">Custom escalation logic</w:t>
      </w:r>
    </w:p>
    <w:p>
      <w:pPr>
        <w:numPr>
          <w:ilvl w:val="0"/>
          <w:numId w:val="1005"/>
        </w:numPr>
        <w:pStyle w:val="Compact"/>
      </w:pPr>
      <w:r>
        <w:t xml:space="preserve">Deeper implementation support</w:t>
      </w:r>
    </w:p>
    <w:p>
      <w:pPr>
        <w:numPr>
          <w:ilvl w:val="0"/>
          <w:numId w:val="1005"/>
        </w:numPr>
        <w:pStyle w:val="Compact"/>
      </w:pPr>
      <w:r>
        <w:t xml:space="preserve">White-glove tuning</w:t>
      </w:r>
    </w:p>
    <w:p>
      <w:pPr>
        <w:numPr>
          <w:ilvl w:val="0"/>
          <w:numId w:val="1005"/>
        </w:numPr>
        <w:pStyle w:val="Compact"/>
      </w:pPr>
      <w:r>
        <w:t xml:space="preserve">Enhanced reporting review</w:t>
      </w:r>
    </w:p>
    <w:p>
      <w:pPr>
        <w:pStyle w:val="Heading3"/>
      </w:pPr>
      <w:bookmarkStart w:id="30" w:name="payment-terms-2"/>
      <w:r>
        <w:t xml:space="preserve">Payment Terms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50% deposit to begin</w:t>
      </w:r>
    </w:p>
    <w:p>
      <w:pPr>
        <w:numPr>
          <w:ilvl w:val="0"/>
          <w:numId w:val="1006"/>
        </w:numPr>
        <w:pStyle w:val="Compact"/>
      </w:pPr>
      <w:r>
        <w:t xml:space="preserve">50% due before go-live</w:t>
      </w:r>
    </w:p>
    <w:p>
      <w:pPr>
        <w:numPr>
          <w:ilvl w:val="0"/>
          <w:numId w:val="1006"/>
        </w:numPr>
        <w:pStyle w:val="Compact"/>
      </w:pPr>
      <w:r>
        <w:t xml:space="preserve">Monthly service begins at go-live</w:t>
      </w:r>
    </w:p>
    <w:p>
      <w:pPr>
        <w:numPr>
          <w:ilvl w:val="0"/>
          <w:numId w:val="1006"/>
        </w:numPr>
        <w:pStyle w:val="Compact"/>
      </w:pPr>
      <w:r>
        <w:t xml:space="preserve">6-month minimum service term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overeign-private-deployment"/>
      <w:r>
        <w:t xml:space="preserve">Sovereign / Private Deployment</w:t>
      </w:r>
      <w:bookmarkEnd w:id="31"/>
    </w:p>
    <w:p>
      <w:pPr>
        <w:pStyle w:val="FirstParagraph"/>
      </w:pPr>
      <w:r>
        <w:rPr>
          <w:b/>
        </w:rPr>
        <w:t xml:space="preserve">Starting at $15,000 setup</w:t>
      </w:r>
    </w:p>
    <w:p>
      <w:pPr>
        <w:pStyle w:val="BodyText"/>
      </w:pPr>
      <w:r>
        <w:t xml:space="preserve">Built for qualified clients who need dedicated or private deployment architecture.</w:t>
      </w:r>
    </w:p>
    <w:p>
      <w:pPr>
        <w:pStyle w:val="Heading3"/>
      </w:pPr>
      <w:bookmarkStart w:id="32" w:name="includes-3"/>
      <w:r>
        <w:t xml:space="preserve">Includes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Private deployment planning</w:t>
      </w:r>
    </w:p>
    <w:p>
      <w:pPr>
        <w:numPr>
          <w:ilvl w:val="0"/>
          <w:numId w:val="1007"/>
        </w:numPr>
        <w:pStyle w:val="Compact"/>
      </w:pPr>
      <w:r>
        <w:t xml:space="preserve">Dedicated environment options</w:t>
      </w:r>
    </w:p>
    <w:p>
      <w:pPr>
        <w:numPr>
          <w:ilvl w:val="0"/>
          <w:numId w:val="1007"/>
        </w:numPr>
        <w:pStyle w:val="Compact"/>
      </w:pPr>
      <w:r>
        <w:t xml:space="preserve">Custom infrastructure coordination</w:t>
      </w:r>
    </w:p>
    <w:p>
      <w:pPr>
        <w:numPr>
          <w:ilvl w:val="0"/>
          <w:numId w:val="1007"/>
        </w:numPr>
        <w:pStyle w:val="Compact"/>
      </w:pPr>
      <w:r>
        <w:t xml:space="preserve">Higher-control data posture</w:t>
      </w:r>
    </w:p>
    <w:p>
      <w:pPr>
        <w:numPr>
          <w:ilvl w:val="0"/>
          <w:numId w:val="1007"/>
        </w:numPr>
        <w:pStyle w:val="Compact"/>
      </w:pPr>
      <w:r>
        <w:t xml:space="preserve">Custom support terms</w:t>
      </w:r>
    </w:p>
    <w:p>
      <w:pPr>
        <w:pStyle w:val="FirstParagraph"/>
      </w:pPr>
      <w:r>
        <w:t xml:space="preserve">Pricing is scoped per environment.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notes"/>
      <w:r>
        <w:t xml:space="preserve">Notes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Third-party telephony, model usage, carrier fees, and infrastructure costs may be billed separately unless explicitly included in writing.</w:t>
      </w:r>
    </w:p>
    <w:p>
      <w:pPr>
        <w:numPr>
          <w:ilvl w:val="0"/>
          <w:numId w:val="1008"/>
        </w:numPr>
        <w:pStyle w:val="Compact"/>
      </w:pPr>
      <w:r>
        <w:t xml:space="preserve">Custom integrations, CRM work, outbound campaigns, and advanced workflow automation are scoped separately unless included in the proposal.</w:t>
      </w:r>
    </w:p>
    <w:p>
      <w:pPr>
        <w:numPr>
          <w:ilvl w:val="0"/>
          <w:numId w:val="1008"/>
        </w:numPr>
        <w:pStyle w:val="Compact"/>
      </w:pPr>
      <w:r>
        <w:t xml:space="preserve">All services are subject to a signed agreement and approved scope.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Syndicate AI Voice Agents</w:t>
      </w:r>
      <w:r>
        <w:br/>
      </w:r>
      <w:r>
        <w:rPr>
          <w:i/>
        </w:rPr>
        <w:t xml:space="preserve">A service of AetherPro Technologies LLC</w:t>
      </w:r>
      <w:r>
        <w:br/>
      </w:r>
      <w:hyperlink r:id="rId34">
        <w:r>
          <w:rPr>
            <w:rStyle w:val="Hyperlink"/>
          </w:rPr>
          <w:t xml:space="preserve">syndicateai.co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34" Target="https://syndicateai.c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4" Target="https://syndicateai.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2026-04-06T17:32:22Z</dcterms:created>
  <dcterms:modified xsi:type="dcterms:W3CDTF">2026-04-06T17:32:22Z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