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F3460"/>
          <w:sz w:val="72"/>
          <w:szCs w:val="72"/>
        </w:rPr>
        <w:t xml:space="preserve">APIS</w:t>
      </w:r>
    </w:p>
    <w:p>
      <w:pPr>
        <w:spacing w:before="0" w:after="100"/>
        <w:jc w:val="center"/>
      </w:pPr>
      <w:r>
        <w:rPr>
          <w:rFonts w:ascii="Arial" w:cs="Arial" w:eastAsia="Arial" w:hAnsi="Arial"/>
          <w:color w:val="16213E"/>
          <w:sz w:val="32"/>
          <w:szCs w:val="32"/>
        </w:rPr>
        <w:t xml:space="preserve">Agent Passport Issuance Standard</w:t>
      </w:r>
    </w:p>
    <w:p>
      <w:pPr>
        <w:spacing w:before="0" w:after="600"/>
        <w:jc w:val="center"/>
      </w:pPr>
      <w:r>
        <w:rPr>
          <w:rFonts w:ascii="Arial" w:cs="Arial" w:eastAsia="Arial" w:hAnsi="Arial"/>
          <w:color w:val="888888"/>
          <w:sz w:val="26"/>
          <w:szCs w:val="26"/>
        </w:rPr>
        <w:t xml:space="preserve">Legal Hardening Assessment &amp; Remediation Roadmap</w:t>
      </w:r>
    </w:p>
    <w:p>
      <w:pPr>
        <w:spacing w:before="0" w:after="100"/>
        <w:jc w:val="center"/>
      </w:pPr>
      <w:r>
        <w:rPr>
          <w:rFonts w:ascii="Arial" w:cs="Arial" w:eastAsia="Arial" w:hAnsi="Arial"/>
          <w:i/>
          <w:iCs/>
          <w:color w:val="888888"/>
          <w:sz w:val="20"/>
          <w:szCs w:val="20"/>
        </w:rPr>
        <w:t xml:space="preserve">Prepared by: Claude (Anthropic) at request of Cory M. Gibson, CEO — AetherPro Technologies LLC</w:t>
      </w:r>
    </w:p>
    <w:p>
      <w:pPr>
        <w:spacing w:before="0" w:after="1000"/>
        <w:jc w:val="center"/>
      </w:pPr>
      <w:r>
        <w:rPr>
          <w:rFonts w:ascii="Arial" w:cs="Arial" w:eastAsia="Arial" w:hAnsi="Arial"/>
          <w:i/>
          <w:iCs/>
          <w:color w:val="888888"/>
          <w:sz w:val="20"/>
          <w:szCs w:val="20"/>
        </w:rPr>
        <w:t xml:space="preserve">Date: February 19, 2026   |   Version: 1.0   |   Status: Working Assessment</w:t>
      </w: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Executive Summary</w:t>
      </w:r>
    </w:p>
    <w:p>
      <w:pPr>
        <w:spacing w:before="100" w:after="100"/>
      </w:pPr>
      <w:r>
        <w:rPr>
          <w:rFonts w:ascii="Arial" w:cs="Arial" w:eastAsia="Arial" w:hAnsi="Arial"/>
          <w:sz w:val="22"/>
          <w:szCs w:val="22"/>
        </w:rPr>
        <w:t xml:space="preserve">APIS (Agent Passport Issuance Standard) is a cryptographic identity and authorization standard for autonomous AI agents, built on the legal concept of limited power of attorney — the same foundational framework that governs human agents acting on behalf of principals in commercial, legal, and governmental contexts.</w:t>
      </w:r>
    </w:p>
    <w:p>
      <w:pPr>
        <w:spacing w:before="120" w:after="120"/>
      </w:pPr>
    </w:p>
    <w:p>
      <w:pPr>
        <w:spacing w:before="100" w:after="100"/>
      </w:pPr>
      <w:r>
        <w:rPr>
          <w:rFonts w:ascii="Arial" w:cs="Arial" w:eastAsia="Arial" w:hAnsi="Arial"/>
          <w:sz w:val="22"/>
          <w:szCs w:val="22"/>
        </w:rPr>
        <w:t xml:space="preserve">This document assesses the current APIS specification against the requirements needed to withstand legal scrutiny in a federal procurement context, commercial dispute, or regulatory audit. It identifies what is already strong, what must be hardened before the first passport is minted, and a sequenced remediation roadmap.</w:t>
      </w:r>
    </w:p>
    <w:p>
      <w:pPr>
        <w:spacing w:before="120" w:after="120"/>
      </w:pPr>
    </w:p>
    <w:p>
      <w:pPr>
        <w:spacing w:before="100" w:after="100"/>
      </w:pPr>
      <w:r>
        <w:rPr>
          <w:rFonts w:ascii="Arial" w:cs="Arial" w:eastAsia="Arial" w:hAnsi="Arial"/>
          <w:b/>
          <w:bCs/>
          <w:sz w:val="22"/>
          <w:szCs w:val="22"/>
        </w:rPr>
        <w:t xml:space="preserve">Bottom line: The architectural foundation is legally sound. Seven specific gaps must be addressed before APIS can be presented to federal buyers or legal reviewers with full confidence. None of these gaps require rearchitecting — they require documentation, policy decisions, and one key ceremony.</w:t>
      </w:r>
    </w:p>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1. Legal Foundation Assessment</w:t>
      </w:r>
    </w:p>
    <w:p>
      <w:pPr>
        <w:pStyle w:val="Heading2"/>
        <w:spacing w:before="300" w:after="150"/>
      </w:pPr>
      <w:r>
        <w:rPr>
          <w:rFonts w:ascii="Arial" w:cs="Arial" w:eastAsia="Arial" w:hAnsi="Arial"/>
          <w:b/>
          <w:bCs/>
          <w:color w:val="16213E"/>
          <w:sz w:val="26"/>
          <w:szCs w:val="26"/>
        </w:rPr>
        <w:t xml:space="preserve">1.1 The Power of Attorney Analogy</w:t>
      </w:r>
    </w:p>
    <w:p>
      <w:pPr>
        <w:spacing w:before="100" w:after="100"/>
      </w:pPr>
      <w:r>
        <w:rPr>
          <w:rFonts w:ascii="Arial" w:cs="Arial" w:eastAsia="Arial" w:hAnsi="Arial"/>
          <w:sz w:val="22"/>
          <w:szCs w:val="22"/>
        </w:rPr>
        <w:t xml:space="preserve">You built APIS on the right legal primitive. Power of attorney (POA) is a well-established legal instrument in all 50 U.S. states, recognized in federal law, and understood by courts, procurement officers, and compliance auditors. The mapping to APIS is direct: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Legal POA Concept</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APIS Equivalent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Grantor (person giving authority)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Principal (signs the Mandate)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Attorney-in-fact (agent acting on behalf)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Delegate (the AI agent, holds the Passport)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Notary / Recording Authority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Issuer (mints and signs the Passport)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of authority (limited powers listed)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Mandate scope + policy constraints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Revocation by grantor or death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Revocation via nonce increment + status = revoked</w:t>
            </w:r>
          </w:p>
        </w:tc>
      </w:tr>
    </w:tbl>
    <w:p>
      <w:pPr>
        <w:spacing w:before="120" w:after="120"/>
      </w:pPr>
    </w:p>
    <w:p>
      <w:pPr>
        <w:spacing w:before="100" w:after="100"/>
      </w:pPr>
      <w:r>
        <w:rPr>
          <w:rFonts w:ascii="Arial" w:cs="Arial" w:eastAsia="Arial" w:hAnsi="Arial"/>
          <w:i/>
          <w:iCs/>
          <w:sz w:val="22"/>
          <w:szCs w:val="22"/>
        </w:rPr>
        <w:t xml:space="preserve">This is not a loose analogy — it is a direct architectural mapping. Courts already adjudicate disputes over POA scope and authority. APIS provides the cryptographic equivalent of notarized, scoped authority in a machine-verifiable form.</w:t>
      </w:r>
    </w:p>
    <w:p>
      <w:pPr>
        <w:spacing w:before="120" w:after="120"/>
      </w:pPr>
    </w:p>
    <w:p>
      <w:pPr>
        <w:pStyle w:val="Heading2"/>
        <w:spacing w:before="300" w:after="150"/>
      </w:pPr>
      <w:r>
        <w:rPr>
          <w:rFonts w:ascii="Arial" w:cs="Arial" w:eastAsia="Arial" w:hAnsi="Arial"/>
          <w:b/>
          <w:bCs/>
          <w:color w:val="16213E"/>
          <w:sz w:val="26"/>
          <w:szCs w:val="26"/>
        </w:rPr>
        <w:t xml:space="preserve">1.2 Three-Signature Chain — Legal Interpretation</w:t>
      </w:r>
    </w:p>
    <w:p>
      <w:pPr>
        <w:spacing w:before="100" w:after="100"/>
      </w:pPr>
      <w:r>
        <w:rPr>
          <w:rFonts w:ascii="Arial" w:cs="Arial" w:eastAsia="Arial" w:hAnsi="Arial"/>
          <w:sz w:val="22"/>
          <w:szCs w:val="22"/>
        </w:rPr>
        <w:t xml:space="preserve">The three-signature chain (Issuer → Principal → Delegate) corresponds to the established legal doctrine of agency. Under UCC Article 4A (funds transfers) and Restatement (Third) of Agency, liability attaches to the principal when an authorized agent acts within scope. APIS's three-signature chain does two things legally important:</w:t>
      </w:r>
    </w:p>
    <w:p>
      <w:pPr>
        <w:spacing w:before="120" w:after="120"/>
      </w:pPr>
    </w:p>
    <w:p>
      <w:pPr>
        <w:spacing w:before="100" w:after="100"/>
      </w:pPr>
      <w:r>
        <w:rPr>
          <w:rFonts w:ascii="Arial" w:cs="Arial" w:eastAsia="Arial" w:hAnsi="Arial"/>
          <w:sz w:val="22"/>
          <w:szCs w:val="22"/>
        </w:rPr>
        <w:t xml:space="preserve">First, it creates a verifiable proof of authorization scope. If a dispute arises about whether an agent was authorized to take a specific action, the signed Mandate is the answer — it is machine-readable, tamper-evident, and timestamp-bound.</w:t>
      </w:r>
    </w:p>
    <w:p>
      <w:pPr>
        <w:spacing w:before="120" w:after="120"/>
      </w:pPr>
    </w:p>
    <w:p>
      <w:pPr>
        <w:spacing w:before="100" w:after="100"/>
      </w:pPr>
      <w:r>
        <w:rPr>
          <w:rFonts w:ascii="Arial" w:cs="Arial" w:eastAsia="Arial" w:hAnsi="Arial"/>
          <w:sz w:val="22"/>
          <w:szCs w:val="22"/>
        </w:rPr>
        <w:t xml:space="preserve">Second, the Delegate Signature on each action creates non-repudiation at the action level. This is equivalent to a signed receipt for every transaction the agent executes. Combined with open telemetry logging, this is a complete audit trail.</w:t>
      </w:r>
    </w:p>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2. Gap Assessment — What Must Be Hardened</w:t>
      </w:r>
    </w:p>
    <w:p>
      <w:pPr>
        <w:spacing w:before="100" w:after="100"/>
      </w:pPr>
      <w:r>
        <w:rPr>
          <w:rFonts w:ascii="Arial" w:cs="Arial" w:eastAsia="Arial" w:hAnsi="Arial"/>
          <w:sz w:val="22"/>
          <w:szCs w:val="22"/>
        </w:rPr>
        <w:t xml:space="preserve">The following table rates each identified gap by severity. Critical gaps must be resolved before the first passport is minted. High gaps must be resolved before federal procurement conversations. Medium gaps are important for long-term legal defensibility.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Root Key Anchoring</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Alliance root public key has no documented origin, generation process, or hardware anchoring. This is the keystone of the entire trust chain — if undefined, the whole system is unverifiable.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Root Key Rotation Policy</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 documented policy for how the root key rotates, who holds it, or what happens if it is compromised. Required for any federal trust framework.</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APIS-v1.md Normative Freeze</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spec is a 'Working Draft' with no committed freeze date. Procurement lawyers and compliance reviewers will not accept an unstable normative baseline.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Issuer Governance Charter</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 documented board structure, quorum rules, issuer admission criteria, or revocation of issuer status. This is the difference between a standard and a single vendor's claim.</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Audit Trail Specification</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Open telemetry is referenced but not normatively specified. What events MUST be logged, in what format, with what retention, and who can access them is undefined.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Court-Admissibility Statement</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spec implies court-admissibility but does not cite the specific evidence standards it satisfies (e.g., FRE 902(13) for self-authenticating records, ESIGN Act for electronic signatures).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Offline Verification Statement</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spec does not explicitly state that verifiers can validate the full chain without calling back to a central APIS server. This is critical for air-gapped federal environments (SCIF, JWICS, etc.).</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Sub-Delegation Depth Limit</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Mandate allows optional sub-delegation controls but does not specify a default maximum delegation depth. Unbounded delegation chains are a known attack vector.</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Liability Language in TOS</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When a principal mints a passport, they accept legal accountability for all actions taken by that delegate within mandate scope. This needs to be explicit in the Terms of Service.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Jurisdiction Conflicts</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Default Jurisdiction is 'US' but APIS is designed as a global standard. Cross-border legal conflicts (GDPR data residency, EU AI Act requirements) are not addressed.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Ed25519 — What's SOLID</w:t>
            </w:r>
          </w:p>
        </w:tc>
        <w:tc>
          <w:tcPr>
            <w:tcW w:type="dxa" w:w="1600"/>
            <w:tcBorders>
              <w:top w:val="single" w:color="27AE60" w:sz="1"/>
              <w:left w:val="single" w:color="27AE60" w:sz="1"/>
              <w:bottom w:val="single" w:color="27AE60" w:sz="1"/>
              <w:right w:val="single" w:color="27AE60" w:sz="1"/>
            </w:tcBorders>
            <w:shd w:fill="E8F8F0" w:val="clear"/>
            <w:tcMar>
              <w:top w:type="dxa" w:w="100"/>
              <w:left w:type="dxa" w:w="120"/>
              <w:bottom w:type="dxa" w:w="100"/>
              <w:right w:type="dxa" w:w="120"/>
            </w:tcMar>
          </w:tcPr>
          <w:p>
            <w:r>
              <w:rPr>
                <w:rFonts w:ascii="Arial" w:cs="Arial" w:eastAsia="Arial" w:hAnsi="Arial"/>
                <w:b/>
                <w:bCs/>
                <w:color w:val="27AE60"/>
                <w:sz w:val="20"/>
                <w:szCs w:val="20"/>
              </w:rPr>
              <w:t xml:space="preserve">STRONG</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cryptographic baseline (Ed25519, JWS, RFC 8785 JCS canonicalization) is correct, modern, and appropriate. No changes needed here.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Three-Signature Chain — SOLID</w:t>
            </w:r>
          </w:p>
        </w:tc>
        <w:tc>
          <w:tcPr>
            <w:tcW w:type="dxa" w:w="1600"/>
            <w:tcBorders>
              <w:top w:val="single" w:color="27AE60" w:sz="1"/>
              <w:left w:val="single" w:color="27AE60" w:sz="1"/>
              <w:bottom w:val="single" w:color="27AE60" w:sz="1"/>
              <w:right w:val="single" w:color="27AE60" w:sz="1"/>
            </w:tcBorders>
            <w:shd w:fill="E8F8F0" w:val="clear"/>
            <w:tcMar>
              <w:top w:type="dxa" w:w="100"/>
              <w:left w:type="dxa" w:w="120"/>
              <w:bottom w:type="dxa" w:w="100"/>
              <w:right w:type="dxa" w:w="120"/>
            </w:tcMar>
          </w:tcPr>
          <w:p>
            <w:r>
              <w:rPr>
                <w:rFonts w:ascii="Arial" w:cs="Arial" w:eastAsia="Arial" w:hAnsi="Arial"/>
                <w:b/>
                <w:bCs/>
                <w:color w:val="27AE60"/>
                <w:sz w:val="20"/>
                <w:szCs w:val="20"/>
              </w:rPr>
              <w:t xml:space="preserve">STRONG</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architecture correctly implements deny-by-default, fail-closed behavior. This is the right security posture and aligns with NIST SP 800-207 Zero Trust.</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revocation_nonce — SOLID</w:t>
            </w:r>
          </w:p>
        </w:tc>
        <w:tc>
          <w:tcPr>
            <w:tcW w:type="dxa" w:w="1600"/>
            <w:tcBorders>
              <w:top w:val="single" w:color="27AE60" w:sz="1"/>
              <w:left w:val="single" w:color="27AE60" w:sz="1"/>
              <w:bottom w:val="single" w:color="27AE60" w:sz="1"/>
              <w:right w:val="single" w:color="27AE60" w:sz="1"/>
            </w:tcBorders>
            <w:shd w:fill="E8F8F0" w:val="clear"/>
            <w:tcMar>
              <w:top w:type="dxa" w:w="100"/>
              <w:left w:type="dxa" w:w="120"/>
              <w:bottom w:type="dxa" w:w="100"/>
              <w:right w:type="dxa" w:w="120"/>
            </w:tcMar>
          </w:tcPr>
          <w:p>
            <w:r>
              <w:rPr>
                <w:rFonts w:ascii="Arial" w:cs="Arial" w:eastAsia="Arial" w:hAnsi="Arial"/>
                <w:b/>
                <w:bCs/>
                <w:color w:val="27AE60"/>
                <w:sz w:val="20"/>
                <w:szCs w:val="20"/>
              </w:rPr>
              <w:t xml:space="preserve">STRONG</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Nonce-based revocation is superior to expiry-window-only revocation. This prevents use of revoked credentials within a validity window — a gap most identity systems have.</w:t>
            </w:r>
          </w:p>
        </w:tc>
      </w:tr>
    </w:tbl>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3. Remediation Roadmap</w:t>
      </w:r>
    </w:p>
    <w:p>
      <w:pPr>
        <w:pStyle w:val="Heading2"/>
        <w:spacing w:before="300" w:after="150"/>
      </w:pPr>
      <w:r>
        <w:rPr>
          <w:rFonts w:ascii="Arial" w:cs="Arial" w:eastAsia="Arial" w:hAnsi="Arial"/>
          <w:b/>
          <w:bCs/>
          <w:color w:val="16213E"/>
          <w:sz w:val="26"/>
          <w:szCs w:val="26"/>
        </w:rPr>
        <w:t xml:space="preserve">Phase 1 — Before First Passport Minted (Do These First)</w:t>
      </w:r>
    </w:p>
    <w:p>
      <w:pPr>
        <w:spacing w:before="240" w:after="120"/>
      </w:pPr>
      <w:r>
        <w:rPr>
          <w:rFonts w:ascii="Arial" w:cs="Arial" w:eastAsia="Arial" w:hAnsi="Arial"/>
          <w:b/>
          <w:bCs/>
          <w:color w:val="0F3460"/>
          <w:sz w:val="24"/>
          <w:szCs w:val="24"/>
        </w:rPr>
        <w:t xml:space="preserve">Gap 1: Root Key Anchoring &amp; Key Ceremony</w:t>
      </w:r>
    </w:p>
    <w:p>
      <w:pPr>
        <w:spacing w:before="100" w:after="100"/>
      </w:pPr>
      <w:r>
        <w:rPr>
          <w:rFonts w:ascii="Arial" w:cs="Arial" w:eastAsia="Arial" w:hAnsi="Arial"/>
          <w:sz w:val="22"/>
          <w:szCs w:val="22"/>
        </w:rPr>
        <w:t xml:space="preserve">The Alliance root keypair must have a documented origin. Minimum requirements:</w:t>
      </w:r>
    </w:p>
    <w:p>
      <w:pPr>
        <w:spacing w:before="120" w:after="120"/>
      </w:pPr>
    </w:p>
    <w:p>
      <w:pPr>
        <w:spacing w:before="100" w:after="100"/>
      </w:pPr>
      <w:r>
        <w:rPr>
          <w:rFonts w:ascii="Arial" w:cs="Arial" w:eastAsia="Arial" w:hAnsi="Arial"/>
          <w:sz w:val="22"/>
          <w:szCs w:val="22"/>
        </w:rPr>
        <w:t xml:space="preserve">Generate the root keypair in a hardware security module (HSM) or at minimum a dedicated air-gapped machine. Document the generation process in a Key Ceremony Report: who was present, what hardware was used, what the key fingerprint is, and where the private key material is stored.</w:t>
      </w:r>
    </w:p>
    <w:p>
      <w:pPr>
        <w:spacing w:before="120" w:after="120"/>
      </w:pPr>
    </w:p>
    <w:p>
      <w:pPr>
        <w:spacing w:before="100" w:after="100"/>
      </w:pPr>
      <w:r>
        <w:rPr>
          <w:rFonts w:ascii="Arial" w:cs="Arial" w:eastAsia="Arial" w:hAnsi="Arial"/>
          <w:sz w:val="22"/>
          <w:szCs w:val="22"/>
        </w:rPr>
        <w:t xml:space="preserve">The public key must be published at a canonical URL (e.g., https://passportalliance.org/.well-known/alliance-root.jwk) with a signed manifest. At minimum, publish the SHA-256 fingerprint of the root public key in the APIS spec itself so implementers can pin it.</w:t>
      </w:r>
    </w:p>
    <w:p>
      <w:pPr>
        <w:spacing w:before="120" w:after="120"/>
      </w:pPr>
    </w:p>
    <w:p>
      <w:pPr>
        <w:spacing w:before="100" w:after="100"/>
      </w:pPr>
      <w:r>
        <w:rPr>
          <w:rFonts w:ascii="Arial" w:cs="Arial" w:eastAsia="Arial" w:hAnsi="Arial"/>
          <w:sz w:val="22"/>
          <w:szCs w:val="22"/>
        </w:rPr>
        <w:t xml:space="preserve">For Phase 1 (pre-board), you as founder can perform this ceremony and document it. The document becomes the evidentiary anchor. When the board forms, they can ratify or re-perform it.</w:t>
      </w:r>
    </w:p>
    <w:p>
      <w:pPr>
        <w:spacing w:before="120" w:after="120"/>
      </w:pPr>
    </w:p>
    <w:p>
      <w:pPr>
        <w:spacing w:before="240" w:after="120"/>
      </w:pPr>
      <w:r>
        <w:rPr>
          <w:rFonts w:ascii="Arial" w:cs="Arial" w:eastAsia="Arial" w:hAnsi="Arial"/>
          <w:b/>
          <w:bCs/>
          <w:color w:val="0F3460"/>
          <w:sz w:val="24"/>
          <w:szCs w:val="24"/>
        </w:rPr>
        <w:t xml:space="preserve">Gap 2: Spec Version Freeze</w:t>
      </w:r>
    </w:p>
    <w:p>
      <w:pPr>
        <w:spacing w:before="100" w:after="100"/>
      </w:pPr>
      <w:r>
        <w:rPr>
          <w:rFonts w:ascii="Arial" w:cs="Arial" w:eastAsia="Arial" w:hAnsi="Arial"/>
          <w:sz w:val="22"/>
          <w:szCs w:val="22"/>
        </w:rPr>
        <w:t xml:space="preserve">Add a version table to APIS-v1.md with these fields: Version, Status, Freeze Date, SHA-256 of document at freeze, and Notes. Publish APIS-v1.0 as 'Frozen' with a specific date. All future changes become APIS-v1.1, v2.0, etc. This is what standards bodies do — IETF, W3C, and NIST all version-lock normative text.</w:t>
      </w:r>
    </w:p>
    <w:p>
      <w:pPr>
        <w:spacing w:before="120" w:after="120"/>
      </w:pPr>
    </w:p>
    <w:p>
      <w:pPr>
        <w:spacing w:before="240" w:after="120"/>
      </w:pPr>
      <w:r>
        <w:rPr>
          <w:rFonts w:ascii="Arial" w:cs="Arial" w:eastAsia="Arial" w:hAnsi="Arial"/>
          <w:b/>
          <w:bCs/>
          <w:color w:val="0F3460"/>
          <w:sz w:val="24"/>
          <w:szCs w:val="24"/>
        </w:rPr>
        <w:t xml:space="preserve">Gap 3: Audit Trail Normative Specification</w:t>
      </w:r>
    </w:p>
    <w:p>
      <w:pPr>
        <w:spacing w:before="100" w:after="100"/>
      </w:pPr>
      <w:r>
        <w:rPr>
          <w:rFonts w:ascii="Arial" w:cs="Arial" w:eastAsia="Arial" w:hAnsi="Arial"/>
          <w:sz w:val="22"/>
          <w:szCs w:val="22"/>
        </w:rPr>
        <w:t xml:space="preserve">Add a section to the spec defining the minimum required audit events. At minimum:</w:t>
      </w:r>
    </w:p>
    <w:p>
      <w:pPr>
        <w:spacing w:before="120" w:after="120"/>
      </w:pPr>
    </w:p>
    <w:p>
      <w:pPr>
        <w:spacing w:before="100" w:after="100"/>
      </w:pPr>
      <w:r>
        <w:rPr>
          <w:rFonts w:ascii="Arial" w:cs="Arial" w:eastAsia="Arial" w:hAnsi="Arial"/>
          <w:sz w:val="22"/>
          <w:szCs w:val="22"/>
        </w:rPr>
        <w:t xml:space="preserve">Passport issuance, Mandate creation, each Signed Action presented to a Verifier, revocation events, and failed verification attempts (with reason codes). Each event must include: timestamp (RFC 3339), actor (passport_id or issuer_id), action type, and a SHA-256 hash of the artifact involved. This is what makes the audit trail legally defensible — not just that it exists, but that it captures the right events in a tamper-evident format.</w:t>
      </w:r>
    </w:p>
    <w:p>
      <w:pPr>
        <w:spacing w:before="120" w:after="120"/>
      </w:pPr>
    </w:p>
    <w:p>
      <w:pPr>
        <w:pStyle w:val="Heading2"/>
        <w:spacing w:before="300" w:after="150"/>
      </w:pPr>
      <w:r>
        <w:rPr>
          <w:rFonts w:ascii="Arial" w:cs="Arial" w:eastAsia="Arial" w:hAnsi="Arial"/>
          <w:b/>
          <w:bCs/>
          <w:color w:val="16213E"/>
          <w:sz w:val="26"/>
          <w:szCs w:val="26"/>
        </w:rPr>
        <w:t xml:space="preserve">Phase 2 — Before Federal Procurement Conversations</w:t>
      </w:r>
    </w:p>
    <w:p>
      <w:pPr>
        <w:spacing w:before="240" w:after="120"/>
      </w:pPr>
      <w:r>
        <w:rPr>
          <w:rFonts w:ascii="Arial" w:cs="Arial" w:eastAsia="Arial" w:hAnsi="Arial"/>
          <w:b/>
          <w:bCs/>
          <w:color w:val="0F3460"/>
          <w:sz w:val="24"/>
          <w:szCs w:val="24"/>
        </w:rPr>
        <w:t xml:space="preserve">Gap 4: Issuer Governance Charter</w:t>
      </w:r>
    </w:p>
    <w:p>
      <w:pPr>
        <w:spacing w:before="100" w:after="100"/>
      </w:pPr>
      <w:r>
        <w:rPr>
          <w:rFonts w:ascii="Arial" w:cs="Arial" w:eastAsia="Arial" w:hAnsi="Arial"/>
          <w:sz w:val="22"/>
          <w:szCs w:val="22"/>
        </w:rPr>
        <w:t xml:space="preserve">Draft a one-page Issuer Governance Charter that specifies: how new issuers are admitted (technical audit + legal agreement), what grounds exist for issuer revocation, how disputes between issuers are resolved, and the minimum board size for quorum decisions. This document does not need to be long — it needs to exist and be public. This is what transforms APIS from 'Cory's standard' into 'an open standard with a governance body.'</w:t>
      </w:r>
    </w:p>
    <w:p>
      <w:pPr>
        <w:spacing w:before="120" w:after="120"/>
      </w:pPr>
    </w:p>
    <w:p>
      <w:pPr>
        <w:spacing w:before="240" w:after="120"/>
      </w:pPr>
      <w:r>
        <w:rPr>
          <w:rFonts w:ascii="Arial" w:cs="Arial" w:eastAsia="Arial" w:hAnsi="Arial"/>
          <w:b/>
          <w:bCs/>
          <w:color w:val="0F3460"/>
          <w:sz w:val="24"/>
          <w:szCs w:val="24"/>
        </w:rPr>
        <w:t xml:space="preserve">Gap 5: Court-Admissibility Grounding</w:t>
      </w:r>
    </w:p>
    <w:p>
      <w:pPr>
        <w:spacing w:before="100" w:after="100"/>
      </w:pPr>
      <w:r>
        <w:rPr>
          <w:rFonts w:ascii="Arial" w:cs="Arial" w:eastAsia="Arial" w:hAnsi="Arial"/>
          <w:sz w:val="22"/>
          <w:szCs w:val="22"/>
        </w:rPr>
        <w:t xml:space="preserve">Add a section to the spec titled 'Legal Admissibility' that explicitly cites: the Electronic Signatures in Global and National Commerce Act (ESIGN Act, 15 U.S.C. § 7001) for the legal validity of electronic signatures; Federal Rule of Evidence 902(13) for self-authenticating electronic records; and NIST SP 800-207 for Zero Trust Architecture alignment. This does not constitute legal advice — it demonstrates that you designed with these frameworks in mind, which is what matters in a procurement or dispute context.</w:t>
      </w:r>
    </w:p>
    <w:p>
      <w:pPr>
        <w:spacing w:before="120" w:after="120"/>
      </w:pPr>
    </w:p>
    <w:p>
      <w:pPr>
        <w:spacing w:before="240" w:after="120"/>
      </w:pPr>
      <w:r>
        <w:rPr>
          <w:rFonts w:ascii="Arial" w:cs="Arial" w:eastAsia="Arial" w:hAnsi="Arial"/>
          <w:b/>
          <w:bCs/>
          <w:color w:val="0F3460"/>
          <w:sz w:val="24"/>
          <w:szCs w:val="24"/>
        </w:rPr>
        <w:t xml:space="preserve">Gap 6: Offline Verification Statement</w:t>
      </w:r>
    </w:p>
    <w:p>
      <w:pPr>
        <w:spacing w:before="100" w:after="100"/>
      </w:pPr>
      <w:r>
        <w:rPr>
          <w:rFonts w:ascii="Arial" w:cs="Arial" w:eastAsia="Arial" w:hAnsi="Arial"/>
          <w:sz w:val="22"/>
          <w:szCs w:val="22"/>
        </w:rPr>
        <w:t xml:space="preserve">Add one paragraph to the spec explicitly stating: 'APIS verifiers do not require real-time network connectivity to the Alliance or any central server to validate the three-signature chain. All cryptographic material required for validation (signed passport, signed mandate, signed action, issuer public key pinned locally) is presented inline at verification time. This architecture is compatible with air-gapped, classified, and disconnected deployment environments.'</w:t>
      </w:r>
    </w:p>
    <w:p>
      <w:pPr>
        <w:spacing w:before="120" w:after="120"/>
      </w:pPr>
    </w:p>
    <w:p>
      <w:pPr>
        <w:spacing w:before="100" w:after="100"/>
      </w:pPr>
      <w:r>
        <w:rPr>
          <w:rFonts w:ascii="Arial" w:cs="Arial" w:eastAsia="Arial" w:hAnsi="Arial"/>
          <w:sz w:val="22"/>
          <w:szCs w:val="22"/>
        </w:rPr>
        <w:t xml:space="preserve">That one paragraph is worth more than five features when talking to a federal buyer.</w:t>
      </w:r>
    </w:p>
    <w:p>
      <w:pPr>
        <w:spacing w:before="120" w:after="120"/>
      </w:pPr>
    </w:p>
    <w:p>
      <w:pPr>
        <w:pStyle w:val="Heading2"/>
        <w:spacing w:before="300" w:after="150"/>
      </w:pPr>
      <w:r>
        <w:rPr>
          <w:rFonts w:ascii="Arial" w:cs="Arial" w:eastAsia="Arial" w:hAnsi="Arial"/>
          <w:b/>
          <w:bCs/>
          <w:color w:val="16213E"/>
          <w:sz w:val="26"/>
          <w:szCs w:val="26"/>
        </w:rPr>
        <w:t xml:space="preserve">Phase 3 — Before Issuer Onboarding Opens</w:t>
      </w:r>
    </w:p>
    <w:p>
      <w:pPr>
        <w:spacing w:before="240" w:after="120"/>
      </w:pPr>
      <w:r>
        <w:rPr>
          <w:rFonts w:ascii="Arial" w:cs="Arial" w:eastAsia="Arial" w:hAnsi="Arial"/>
          <w:b/>
          <w:bCs/>
          <w:color w:val="0F3460"/>
          <w:sz w:val="24"/>
          <w:szCs w:val="24"/>
        </w:rPr>
        <w:t xml:space="preserve">Gap 7: Terms of Service — Principal Accountability</w:t>
      </w:r>
    </w:p>
    <w:p>
      <w:pPr>
        <w:spacing w:before="100" w:after="100"/>
      </w:pPr>
      <w:r>
        <w:rPr>
          <w:rFonts w:ascii="Arial" w:cs="Arial" w:eastAsia="Arial" w:hAnsi="Arial"/>
          <w:sz w:val="22"/>
          <w:szCs w:val="22"/>
        </w:rPr>
        <w:t xml:space="preserve">The TOS for passport issuance must include explicit language stating that: the principal accepts legal accountability for all actions taken by registered delegates within the scope of granted mandates; the principal acknowledges that delegate actions within mandate scope may have legal, financial, and contractual consequences; and revocation of a passport immediately terminates delegate authority. This is the legal backbone that makes the principal's signature on a Mandate meaningful — not just cryptographically, but legally.</w:t>
      </w:r>
    </w:p>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4. Competitive Position</w:t>
      </w:r>
    </w:p>
    <w:p>
      <w:pPr>
        <w:spacing w:before="100" w:after="100"/>
      </w:pPr>
      <w:r>
        <w:rPr>
          <w:rFonts w:ascii="Arial" w:cs="Arial" w:eastAsia="Arial" w:hAnsi="Arial"/>
          <w:sz w:val="22"/>
          <w:szCs w:val="22"/>
        </w:rPr>
        <w:t xml:space="preserve">The AI agent identity space is active. Here is how APIS compares to current alternatives: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APIS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MS Entra Agent ID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APort</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AgentFacts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Open Standard</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 (Microsoft-only)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 (SaaS)</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Partial (metadata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Three-Sig Chain</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Legal POA Mapping</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Partial</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Federated Issuers</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 (planned)</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Air-gap Compatible</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 (after Gap 6 fix)</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Unknown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Action Non-Repudiation</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Partial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Yes</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Nonce Revocation</w:t>
            </w:r>
          </w:p>
        </w:tc>
        <w:tc>
          <w:tcPr>
            <w:tcW w:type="dxa" w:w="18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E8449"/>
                <w:sz w:val="19"/>
                <w:szCs w:val="19"/>
              </w:rPr>
              <w:t xml:space="preserve">Yes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w:t>
            </w:r>
          </w:p>
        </w:tc>
      </w:tr>
    </w:tbl>
    <w:p>
      <w:pPr>
        <w:spacing w:before="120" w:after="120"/>
      </w:pPr>
    </w:p>
    <w:p>
      <w:pPr>
        <w:spacing w:before="100" w:after="100"/>
      </w:pPr>
      <w:r>
        <w:rPr>
          <w:rFonts w:ascii="Arial" w:cs="Arial" w:eastAsia="Arial" w:hAnsi="Arial"/>
          <w:sz w:val="22"/>
          <w:szCs w:val="22"/>
        </w:rPr>
        <w:t xml:space="preserve">Your differentiation is real and defensible: APIS is the only open, federated, legally-grounded agent identity standard with action-level non-repudiation. Say this explicitly in every pitch, grant application, and press release.</w:t>
      </w:r>
    </w:p>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5. SBIR &amp; Federal Grant Positioning</w:t>
      </w:r>
    </w:p>
    <w:p>
      <w:pPr>
        <w:spacing w:before="100" w:after="100"/>
      </w:pPr>
      <w:r>
        <w:rPr>
          <w:rFonts w:ascii="Arial" w:cs="Arial" w:eastAsia="Arial" w:hAnsi="Arial"/>
          <w:sz w:val="22"/>
          <w:szCs w:val="22"/>
        </w:rPr>
        <w:t xml:space="preserve">You are correct that AetherPro / APIS is eligible for SBIR (Small Business Innovation Research) funding right now. The relevant program areas include:</w:t>
      </w:r>
    </w:p>
    <w:p>
      <w:pPr>
        <w:spacing w:before="120" w:after="120"/>
      </w:pPr>
    </w:p>
    <w:p>
      <w:pPr>
        <w:spacing w:before="100" w:after="100"/>
      </w:pPr>
      <w:r>
        <w:rPr>
          <w:rFonts w:ascii="Arial" w:cs="Arial" w:eastAsia="Arial" w:hAnsi="Arial"/>
          <w:sz w:val="22"/>
          <w:szCs w:val="22"/>
        </w:rPr>
        <w:t xml:space="preserve">DoD SBIR Topic Areas: AI/ML for trusted autonomous systems, identity management for unmanned systems, cybersecurity for AI-enabled platforms. Your AetherSync drone swarm coordination work and APIS are directly on-topic for these.</w:t>
      </w:r>
    </w:p>
    <w:p>
      <w:pPr>
        <w:spacing w:before="120" w:after="120"/>
      </w:pPr>
    </w:p>
    <w:p>
      <w:pPr>
        <w:spacing w:before="100" w:after="100"/>
      </w:pPr>
      <w:r>
        <w:rPr>
          <w:rFonts w:ascii="Arial" w:cs="Arial" w:eastAsia="Arial" w:hAnsi="Arial"/>
          <w:sz w:val="22"/>
          <w:szCs w:val="22"/>
        </w:rPr>
        <w:t xml:space="preserve">NIST SBIR: Standards development and critical infrastructure security. APIS as an open standard for AI agent accountability is squarely in scope.</w:t>
      </w:r>
    </w:p>
    <w:p>
      <w:pPr>
        <w:spacing w:before="120" w:after="120"/>
      </w:pPr>
    </w:p>
    <w:p>
      <w:pPr>
        <w:spacing w:before="100" w:after="100"/>
      </w:pPr>
      <w:r>
        <w:rPr>
          <w:rFonts w:ascii="Arial" w:cs="Arial" w:eastAsia="Arial" w:hAnsi="Arial"/>
          <w:sz w:val="22"/>
          <w:szCs w:val="22"/>
        </w:rPr>
        <w:t xml:space="preserve">NSF SBIR Phase I: $275,000 for proof of concept. Phase II: up to $1,000,000. With ORCID registration, SAM.gov registration, CAGE code, and a live technical implementation, you meet the baseline requirements.</w:t>
      </w:r>
    </w:p>
    <w:p>
      <w:pPr>
        <w:spacing w:before="120" w:after="120"/>
      </w:pPr>
    </w:p>
    <w:p>
      <w:pPr>
        <w:spacing w:before="100" w:after="100"/>
      </w:pPr>
      <w:r>
        <w:rPr>
          <w:rFonts w:ascii="Arial" w:cs="Arial" w:eastAsia="Arial" w:hAnsi="Arial"/>
          <w:b/>
          <w:bCs/>
          <w:sz w:val="22"/>
          <w:szCs w:val="22"/>
        </w:rPr>
        <w:t xml:space="preserve">The single biggest thing that will strengthen a federal grant application: closing Gap 3 (audit trail specification) and Gap 4 (governance charter). Federal reviewers want to see that the standard has a governance model, not just a solo founder. Even a nominal founding board of 3-5 people on record changes the perception entirely.</w:t>
      </w:r>
    </w:p>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6. Recommended Next Actions — Sequenced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Root Key Ceremony + document it</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This week</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Required before minting any passport. Without it, the trust chain has no anchor.</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Freeze APIS-v1.0 spec</w:t>
            </w:r>
          </w:p>
        </w:tc>
        <w:tc>
          <w:tcPr>
            <w:tcW w:type="dxa" w:w="1600"/>
            <w:tcBorders>
              <w:top w:val="single" w:color="C0392B" w:sz="1"/>
              <w:left w:val="single" w:color="C0392B" w:sz="1"/>
              <w:bottom w:val="single" w:color="C0392B" w:sz="1"/>
              <w:right w:val="single" w:color="C0392B" w:sz="1"/>
            </w:tcBorders>
            <w:shd w:fill="FDEDEC" w:val="clear"/>
            <w:tcMar>
              <w:top w:type="dxa" w:w="100"/>
              <w:left w:type="dxa" w:w="120"/>
              <w:bottom w:type="dxa" w:w="100"/>
              <w:right w:type="dxa" w:w="120"/>
            </w:tcMar>
          </w:tcPr>
          <w:p>
            <w:r>
              <w:rPr>
                <w:rFonts w:ascii="Arial" w:cs="Arial" w:eastAsia="Arial" w:hAnsi="Arial"/>
                <w:b/>
                <w:bCs/>
                <w:color w:val="C0392B"/>
                <w:sz w:val="20"/>
                <w:szCs w:val="20"/>
              </w:rPr>
              <w:t xml:space="preserve">This week</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Locks the normative baseline. Everything after this is versioned.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Add offline verification statement</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This week</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One paragraph. Unlocks federal/classified market conversations.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Draft Issuer Governance Charter</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Next 2 weeks</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Transforms APIS from solo project to open standard.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Audit trail normative spec</w:t>
            </w:r>
          </w:p>
        </w:tc>
        <w:tc>
          <w:tcPr>
            <w:tcW w:type="dxa" w:w="16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r>
              <w:rPr>
                <w:rFonts w:ascii="Arial" w:cs="Arial" w:eastAsia="Arial" w:hAnsi="Arial"/>
                <w:b/>
                <w:bCs/>
                <w:color w:val="E67E22"/>
                <w:sz w:val="20"/>
                <w:szCs w:val="20"/>
              </w:rPr>
              <w:t xml:space="preserve">Next 2 weeks</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Required for legal defensibility and SBIR application.</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Mint first AetherAgentForge passport</w:t>
            </w:r>
          </w:p>
        </w:tc>
        <w:tc>
          <w:tcPr>
            <w:tcW w:type="dxa" w:w="1600"/>
            <w:tcBorders>
              <w:top w:val="single" w:color="27AE60" w:sz="1"/>
              <w:left w:val="single" w:color="27AE60" w:sz="1"/>
              <w:bottom w:val="single" w:color="27AE60" w:sz="1"/>
              <w:right w:val="single" w:color="27AE60" w:sz="1"/>
            </w:tcBorders>
            <w:shd w:fill="E8F8F0" w:val="clear"/>
            <w:tcMar>
              <w:top w:type="dxa" w:w="100"/>
              <w:left w:type="dxa" w:w="120"/>
              <w:bottom w:type="dxa" w:w="100"/>
              <w:right w:type="dxa" w:w="120"/>
            </w:tcMar>
          </w:tcPr>
          <w:p>
            <w:r>
              <w:rPr>
                <w:rFonts w:ascii="Arial" w:cs="Arial" w:eastAsia="Arial" w:hAnsi="Arial"/>
                <w:b/>
                <w:bCs/>
                <w:color w:val="27AE60"/>
                <w:sz w:val="20"/>
                <w:szCs w:val="20"/>
              </w:rPr>
              <w:t xml:space="preserve">After above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First production issuer. Sets the example for the community.</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Post Show HN + GitHub spec repo</w:t>
            </w:r>
          </w:p>
        </w:tc>
        <w:tc>
          <w:tcPr>
            <w:tcW w:type="dxa" w:w="1600"/>
            <w:tcBorders>
              <w:top w:val="single" w:color="27AE60" w:sz="1"/>
              <w:left w:val="single" w:color="27AE60" w:sz="1"/>
              <w:bottom w:val="single" w:color="27AE60" w:sz="1"/>
              <w:right w:val="single" w:color="27AE60" w:sz="1"/>
            </w:tcBorders>
            <w:shd w:fill="E8F8F0" w:val="clear"/>
            <w:tcMar>
              <w:top w:type="dxa" w:w="100"/>
              <w:left w:type="dxa" w:w="120"/>
              <w:bottom w:type="dxa" w:w="100"/>
              <w:right w:type="dxa" w:w="120"/>
            </w:tcMar>
          </w:tcPr>
          <w:p>
            <w:r>
              <w:rPr>
                <w:rFonts w:ascii="Arial" w:cs="Arial" w:eastAsia="Arial" w:hAnsi="Arial"/>
                <w:b/>
                <w:bCs/>
                <w:color w:val="27AE60"/>
                <w:sz w:val="20"/>
                <w:szCs w:val="20"/>
              </w:rPr>
              <w:t xml:space="preserve">After freeze</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Developers need to find you. Spec repo is the trust signal.</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0"/>
                <w:szCs w:val="20"/>
              </w:rPr>
              <w:t xml:space="preserve">File SBIR Phase I application</w:t>
            </w:r>
          </w:p>
        </w:tc>
        <w:tc>
          <w:tcPr>
            <w:tcW w:type="dxa" w:w="1600"/>
            <w:tcBorders>
              <w:top w:val="single" w:color="27AE60" w:sz="1"/>
              <w:left w:val="single" w:color="27AE60" w:sz="1"/>
              <w:bottom w:val="single" w:color="27AE60" w:sz="1"/>
              <w:right w:val="single" w:color="27AE60" w:sz="1"/>
            </w:tcBorders>
            <w:shd w:fill="E8F8F0" w:val="clear"/>
            <w:tcMar>
              <w:top w:type="dxa" w:w="100"/>
              <w:left w:type="dxa" w:w="120"/>
              <w:bottom w:type="dxa" w:w="100"/>
              <w:right w:type="dxa" w:w="120"/>
            </w:tcMar>
          </w:tcPr>
          <w:p>
            <w:r>
              <w:rPr>
                <w:rFonts w:ascii="Arial" w:cs="Arial" w:eastAsia="Arial" w:hAnsi="Arial"/>
                <w:b/>
                <w:bCs/>
                <w:color w:val="27AE60"/>
                <w:sz w:val="20"/>
                <w:szCs w:val="20"/>
              </w:rPr>
              <w:t xml:space="preserve">30-60 days</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With governance charter + audit spec, you are ready. $275K Phase I available.</w:t>
            </w:r>
          </w:p>
        </w:tc>
      </w:tr>
    </w:tbl>
    <w:p>
      <w:pPr>
        <w:spacing w:before="120" w:after="120"/>
      </w:pPr>
    </w:p>
    <w:p>
      <w:pPr>
        <w:pBdr>
          <w:bottom w:val="single" w:color="CCCCCC" w:sz="4" w:space="1"/>
        </w:pBdr>
        <w:spacing w:before="200" w:after="200"/>
      </w:pPr>
    </w:p>
    <w:p>
      <w:pPr>
        <w:pStyle w:val="Heading1"/>
        <w:spacing w:before="400" w:after="200"/>
      </w:pPr>
      <w:r>
        <w:rPr>
          <w:rFonts w:ascii="Arial" w:cs="Arial" w:eastAsia="Arial" w:hAnsi="Arial"/>
          <w:b/>
          <w:bCs/>
          <w:color w:val="1A1A2E"/>
          <w:sz w:val="32"/>
          <w:szCs w:val="32"/>
        </w:rPr>
        <w:t xml:space="preserve">7. Closing Assessment</w:t>
      </w:r>
    </w:p>
    <w:p>
      <w:pPr>
        <w:spacing w:before="100" w:after="100"/>
      </w:pPr>
      <w:r>
        <w:rPr>
          <w:rFonts w:ascii="Arial" w:cs="Arial" w:eastAsia="Arial" w:hAnsi="Arial"/>
          <w:sz w:val="22"/>
          <w:szCs w:val="22"/>
        </w:rPr>
        <w:t xml:space="preserve">APIS is real infrastructure built on a real legal foundation. The power of attorney conceptual model is not a marketing metaphor — it is a legally operative framework that courts and procurement officers already understand. The three-signature chain cryptographically implements that framework in a way that is technically sound and architecturally superior to what large vendors have shipped.</w:t>
      </w:r>
    </w:p>
    <w:p>
      <w:pPr>
        <w:spacing w:before="120" w:after="120"/>
      </w:pPr>
    </w:p>
    <w:p>
      <w:pPr>
        <w:spacing w:before="100" w:after="100"/>
      </w:pPr>
      <w:r>
        <w:rPr>
          <w:rFonts w:ascii="Arial" w:cs="Arial" w:eastAsia="Arial" w:hAnsi="Arial"/>
          <w:sz w:val="22"/>
          <w:szCs w:val="22"/>
        </w:rPr>
        <w:t xml:space="preserve">The work you have done is not procrastination. Infrastructure that will be around in 10 years takes longer to build than a SaaS app — because you are laying the substrate that SaaS apps will run on. The gaps identified in this document are not architectural failures. They are the governance and documentation layer that turns a solid technical system into a legally defensible open standard.</w:t>
      </w:r>
    </w:p>
    <w:p>
      <w:pPr>
        <w:spacing w:before="120" w:after="120"/>
      </w:pPr>
    </w:p>
    <w:p>
      <w:pPr>
        <w:spacing w:before="100" w:after="100"/>
      </w:pPr>
      <w:r>
        <w:rPr>
          <w:rFonts w:ascii="Arial" w:cs="Arial" w:eastAsia="Arial" w:hAnsi="Arial"/>
          <w:b/>
          <w:bCs/>
          <w:sz w:val="22"/>
          <w:szCs w:val="22"/>
        </w:rPr>
        <w:t xml:space="preserve">Close the seven gaps. Mint the first passport. File the SBIR. Get the GitHub repo up. The market timing is right — Microsoft just launched a competing product that proves the demand is real, and your open, federated, legally-grounded approach is the right counterweight to vendor lock-in.</w:t>
      </w:r>
    </w:p>
    <w:p>
      <w:pPr>
        <w:spacing w:before="120" w:after="120"/>
      </w:pPr>
    </w:p>
    <w:p>
      <w:pPr>
        <w:spacing w:before="400" w:after="0"/>
        <w:jc w:val="center"/>
      </w:pPr>
      <w:r>
        <w:rPr>
          <w:rFonts w:ascii="Arial" w:cs="Arial" w:eastAsia="Arial" w:hAnsi="Arial"/>
          <w:i/>
          <w:iCs/>
          <w:color w:val="888888"/>
          <w:sz w:val="20"/>
          <w:szCs w:val="20"/>
        </w:rPr>
        <w:t xml:space="preserve">— END OF ASSESSMENT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6"/>
      </w:pBdr>
    </w:pPr>
    <w:r>
      <w:rPr>
        <w:rFonts w:ascii="Arial" w:cs="Arial" w:eastAsia="Arial" w:hAnsi="Arial"/>
        <w:color w:val="888888"/>
        <w:sz w:val="18"/>
        <w:szCs w:val="18"/>
      </w:rPr>
      <w:t xml:space="preserve">CONFIDENTIAL — AetherPro Technologies LLC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6"/>
      </w:pBdr>
    </w:pPr>
    <w:r>
      <w:rPr>
        <w:rFonts w:ascii="Arial" w:cs="Arial" w:eastAsia="Arial" w:hAnsi="Arial"/>
        <w:b/>
        <w:bCs/>
        <w:color w:val="0F3460"/>
        <w:sz w:val="20"/>
        <w:szCs w:val="20"/>
      </w:rPr>
      <w:t xml:space="preserve">APIS — Legal Hardening Assessment</w:t>
    </w:r>
    <w:r>
      <w:rPr>
        <w:rFonts w:ascii="Arial" w:cs="Arial" w:eastAsia="Arial" w:hAnsi="Arial"/>
        <w:color w:val="888888"/>
        <w:sz w:val="18"/>
        <w:szCs w:val="18"/>
      </w:rPr>
      <w:t xml:space="preserve">    |    AetherPro Technologies LLC / Passport Alliance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2026-02-20T03:07:51.406Z</dcterms:created>
  <dcterms:modified xsi:type="dcterms:W3CDTF">2026-02-20T03:07:51.407Z</dcterms:modified>
</cp:coreProperties>
</file>

<file path=docProps/custom.xml><?xml version="1.0" encoding="utf-8"?>
<Properties xmlns="http://schemas.openxmlformats.org/officeDocument/2006/custom-properties" xmlns:vt="http://schemas.openxmlformats.org/officeDocument/2006/docPropsVTypes"/>
</file>