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480"/>
        <w:jc w:val="center"/>
      </w:pPr>
      <w:r>
        <w:rPr>
          <w:rFonts w:ascii="Arial" w:cs="Arial" w:eastAsia="Arial" w:hAnsi="Arial"/>
          <w:b/>
          <w:bCs/>
          <w:color w:val="4B1E6B"/>
          <w:sz w:val="36"/>
          <w:szCs w:val="36"/>
        </w:rPr>
        <w:t xml:space="preserve">Passport Alliance</w:t>
      </w:r>
    </w:p>
    <w:p>
      <w:pPr>
        <w:spacing w:after="80"/>
        <w:jc w:val="center"/>
      </w:pPr>
      <w:r>
        <w:rPr>
          <w:rFonts w:ascii="Arial" w:cs="Arial" w:eastAsia="Arial" w:hAnsi="Arial"/>
          <w:color w:val="666666"/>
          <w:sz w:val="24"/>
          <w:szCs w:val="24"/>
        </w:rPr>
        <w:t xml:space="preserve">Governing Charter  |  Version 1.0</w:t>
      </w:r>
    </w:p>
    <w:p>
      <w:pPr>
        <w:spacing w:after="120"/>
      </w:pPr>
      <w:r>
        <w:t xml:space="preserve"/>
      </w:r>
    </w:p>
    <w:p>
      <w:pPr>
        <w:spacing w:after="80"/>
        <w:jc w:val="center"/>
      </w:pPr>
      <w:r>
        <w:rPr>
          <w:rFonts w:ascii="Arial" w:cs="Arial" w:eastAsia="Arial" w:hAnsi="Arial"/>
          <w:color w:val="444444"/>
          <w:sz w:val="22"/>
          <w:szCs w:val="22"/>
        </w:rPr>
        <w:t xml:space="preserve">An Open, Multi-Stakeholder Governing Body for Agent Identity Standards</w:t>
      </w:r>
    </w:p>
    <w:p>
      <w:pPr>
        <w:spacing w:after="120"/>
      </w:pPr>
      <w:r>
        <w:t xml:space="preserve"/>
      </w:r>
    </w:p>
    <w:p>
      <w:pPr>
        <w:spacing w:after="80"/>
        <w:jc w:val="center"/>
      </w:pPr>
      <w:r>
        <w:rPr>
          <w:rFonts w:ascii="Arial" w:cs="Arial" w:eastAsia="Arial" w:hAnsi="Arial"/>
          <w:color w:val="666666"/>
          <w:sz w:val="20"/>
          <w:szCs w:val="20"/>
        </w:rPr>
        <w:t xml:space="preserve">Founded by: Cory M. Gibson  |  AetherPro Technologies LLC</w:t>
      </w:r>
    </w:p>
    <w:p>
      <w:pPr>
        <w:spacing w:after="80"/>
        <w:jc w:val="center"/>
      </w:pPr>
      <w:r>
        <w:rPr>
          <w:rFonts w:ascii="Arial" w:cs="Arial" w:eastAsia="Arial" w:hAnsi="Arial"/>
          <w:color w:val="666666"/>
          <w:sz w:val="20"/>
          <w:szCs w:val="20"/>
        </w:rPr>
        <w:t xml:space="preserve">Root Key Ceremony: 2026-02-21  |  Charter Effective: May 2026</w:t>
      </w:r>
    </w:p>
    <w:p>
      <w:r>
        <w:br w:type="page"/>
      </w:r>
    </w:p>
    <w:p>
      <w:pPr>
        <w:pStyle w:val="Heading1"/>
      </w:pPr>
      <w:r>
        <w:rPr>
          <w:rFonts w:ascii="Arial" w:cs="Arial" w:eastAsia="Arial" w:hAnsi="Arial"/>
          <w:b/>
          <w:bCs/>
          <w:sz w:val="32"/>
          <w:szCs w:val="32"/>
        </w:rPr>
        <w:t xml:space="preserve">Preamble</w:t>
      </w:r>
    </w:p>
    <w:p>
      <w:pPr>
        <w:spacing w:after="160"/>
      </w:pPr>
      <w:r>
        <w:rPr>
          <w:rFonts w:ascii="Arial" w:cs="Arial" w:eastAsia="Arial" w:hAnsi="Arial"/>
          <w:sz w:val="22"/>
          <w:szCs w:val="22"/>
        </w:rPr>
        <w:t xml:space="preserve">The proliferation of autonomous AI agents operating across organizational boundaries, jurisdictions, and agentic frameworks has created a legal and technical vacuum: no universal standard exists for agent identity, accountability, or authority delegation.</w:t>
      </w:r>
    </w:p>
    <w:p>
      <w:pPr>
        <w:spacing w:after="120"/>
      </w:pPr>
      <w:r>
        <w:t xml:space="preserve"/>
      </w:r>
    </w:p>
    <w:p>
      <w:pPr>
        <w:spacing w:after="160"/>
      </w:pPr>
      <w:r>
        <w:rPr>
          <w:rFonts w:ascii="Arial" w:cs="Arial" w:eastAsia="Arial" w:hAnsi="Arial"/>
          <w:sz w:val="22"/>
          <w:szCs w:val="22"/>
        </w:rPr>
        <w:t xml:space="preserve">The Passport Alliance exists to fill that vacuum with an open, cryptographically grounded, legally defensible standard — one that any framework, any organization, and any operator can implement without proprietary dependency or centralized control.</w:t>
      </w:r>
    </w:p>
    <w:p>
      <w:pPr>
        <w:spacing w:after="120"/>
      </w:pPr>
      <w:r>
        <w:t xml:space="preserve"/>
      </w:r>
    </w:p>
    <w:p>
      <w:pPr>
        <w:spacing w:after="160"/>
      </w:pPr>
      <w:r>
        <w:rPr>
          <w:rFonts w:ascii="Arial" w:cs="Arial" w:eastAsia="Arial" w:hAnsi="Arial"/>
          <w:sz w:val="22"/>
          <w:szCs w:val="22"/>
        </w:rPr>
        <w:t xml:space="preserve">The Alliance does not exist to serve AetherPro Technologies LLC exclusively. It exists because the problem is real, the solution is needed, and no one had formalized it. AetherPro is the founding organization and custodian of the root key — but the Alliance is governed collectively, its standards are freely implementable, and its membership is open to any organization meeting the admission criteria defined herein.</w:t>
      </w:r>
    </w:p>
    <w:p>
      <w:pPr>
        <w:spacing w:after="120"/>
      </w:pPr>
      <w:r>
        <w:t xml:space="preserve"/>
      </w:r>
    </w:p>
    <w:p>
      <w:pPr>
        <w:spacing w:after="160"/>
      </w:pPr>
      <w:r>
        <w:rPr>
          <w:rFonts w:ascii="Arial" w:cs="Arial" w:eastAsia="Arial" w:hAnsi="Arial"/>
          <w:sz w:val="22"/>
          <w:szCs w:val="22"/>
        </w:rPr>
        <w:t xml:space="preserve">This is how all foundational internet protocols were built. SMTP, DNS, TLS, and OAuth all began with small groups of engineers who identified a problem and wrote the spec. The Passport Alliance follows that tradition.</w:t>
      </w:r>
    </w:p>
    <w:p>
      <w:pPr>
        <w:spacing w:after="120"/>
      </w:pPr>
      <w:r>
        <w:t xml:space="preserve"/>
      </w:r>
    </w:p>
    <w:p>
      <w:r>
        <w:br w:type="page"/>
      </w:r>
    </w:p>
    <w:p>
      <w:pPr>
        <w:pStyle w:val="Heading1"/>
      </w:pPr>
      <w:r>
        <w:rPr>
          <w:rFonts w:ascii="Arial" w:cs="Arial" w:eastAsia="Arial" w:hAnsi="Arial"/>
          <w:b/>
          <w:bCs/>
          <w:sz w:val="32"/>
          <w:szCs w:val="32"/>
        </w:rPr>
        <w:t xml:space="preserve">Article I — Name, Purpose, and Structure</w:t>
      </w:r>
    </w:p>
    <w:p>
      <w:pPr>
        <w:pStyle w:val="Heading2"/>
      </w:pPr>
      <w:r>
        <w:rPr>
          <w:rFonts w:ascii="Arial" w:cs="Arial" w:eastAsia="Arial" w:hAnsi="Arial"/>
          <w:b/>
          <w:bCs/>
          <w:sz w:val="26"/>
          <w:szCs w:val="26"/>
        </w:rPr>
        <w:t xml:space="preserve">1.1 Name</w:t>
      </w:r>
    </w:p>
    <w:p>
      <w:pPr>
        <w:spacing w:after="160"/>
      </w:pPr>
      <w:r>
        <w:rPr>
          <w:rFonts w:ascii="Arial" w:cs="Arial" w:eastAsia="Arial" w:hAnsi="Arial"/>
          <w:sz w:val="22"/>
          <w:szCs w:val="22"/>
        </w:rPr>
        <w:t xml:space="preserve">This organization shall be known as the Passport Alliance (the "Alliance").</w:t>
      </w:r>
    </w:p>
    <w:p>
      <w:pPr>
        <w:spacing w:after="120"/>
      </w:pPr>
      <w:r>
        <w:t xml:space="preserve"/>
      </w:r>
    </w:p>
    <w:p>
      <w:pPr>
        <w:pStyle w:val="Heading2"/>
      </w:pPr>
      <w:r>
        <w:rPr>
          <w:rFonts w:ascii="Arial" w:cs="Arial" w:eastAsia="Arial" w:hAnsi="Arial"/>
          <w:b/>
          <w:bCs/>
          <w:sz w:val="26"/>
          <w:szCs w:val="26"/>
        </w:rPr>
        <w:t xml:space="preserve">1.2 Mission</w:t>
      </w:r>
    </w:p>
    <w:p>
      <w:pPr>
        <w:spacing w:after="160"/>
      </w:pPr>
      <w:r>
        <w:rPr>
          <w:rFonts w:ascii="Arial" w:cs="Arial" w:eastAsia="Arial" w:hAnsi="Arial"/>
          <w:sz w:val="22"/>
          <w:szCs w:val="22"/>
        </w:rPr>
        <w:t xml:space="preserve">The Alliance exists to:</w:t>
      </w:r>
    </w:p>
    <w:p>
      <w:pPr>
        <w:pStyle w:val="ListParagraph"/>
        <w:numPr>
          <w:ilvl w:val="0"/>
          <w:numId w:val="2"/>
        </w:numPr>
        <w:spacing w:after="100"/>
      </w:pPr>
      <w:r>
        <w:rPr>
          <w:rFonts w:ascii="Arial" w:cs="Arial" w:eastAsia="Arial" w:hAnsi="Arial"/>
          <w:sz w:val="22"/>
          <w:szCs w:val="22"/>
        </w:rPr>
        <w:t xml:space="preserve">Publish and maintain the APIS (Agent Passport Issuance Standard) specification as a free, open standard</w:t>
      </w:r>
    </w:p>
    <w:p>
      <w:pPr>
        <w:pStyle w:val="ListParagraph"/>
        <w:numPr>
          <w:ilvl w:val="0"/>
          <w:numId w:val="2"/>
        </w:numPr>
        <w:spacing w:after="100"/>
      </w:pPr>
      <w:r>
        <w:rPr>
          <w:rFonts w:ascii="Arial" w:cs="Arial" w:eastAsia="Arial" w:hAnsi="Arial"/>
          <w:sz w:val="22"/>
          <w:szCs w:val="22"/>
        </w:rPr>
        <w:t xml:space="preserve">Operate the root trust anchor for the APIS credential chain</w:t>
      </w:r>
    </w:p>
    <w:p>
      <w:pPr>
        <w:pStyle w:val="ListParagraph"/>
        <w:numPr>
          <w:ilvl w:val="0"/>
          <w:numId w:val="2"/>
        </w:numPr>
        <w:spacing w:after="100"/>
      </w:pPr>
      <w:r>
        <w:rPr>
          <w:rFonts w:ascii="Arial" w:cs="Arial" w:eastAsia="Arial" w:hAnsi="Arial"/>
          <w:sz w:val="22"/>
          <w:szCs w:val="22"/>
        </w:rPr>
        <w:t xml:space="preserve">Admit and audit Realm Issuers who wish to issue APIS-compliant Agent Passports</w:t>
      </w:r>
    </w:p>
    <w:p>
      <w:pPr>
        <w:pStyle w:val="ListParagraph"/>
        <w:numPr>
          <w:ilvl w:val="0"/>
          <w:numId w:val="2"/>
        </w:numPr>
        <w:spacing w:after="100"/>
      </w:pPr>
      <w:r>
        <w:rPr>
          <w:rFonts w:ascii="Arial" w:cs="Arial" w:eastAsia="Arial" w:hAnsi="Arial"/>
          <w:sz w:val="22"/>
          <w:szCs w:val="22"/>
        </w:rPr>
        <w:t xml:space="preserve">Operate the shared public infrastructure: agents.passportalliance.org namespace, alliance-root.jwk publication, and APIS Direct Registration for domain-less principals</w:t>
      </w:r>
    </w:p>
    <w:p>
      <w:pPr>
        <w:pStyle w:val="ListParagraph"/>
        <w:numPr>
          <w:ilvl w:val="0"/>
          <w:numId w:val="2"/>
        </w:numPr>
        <w:spacing w:after="100"/>
      </w:pPr>
      <w:r>
        <w:rPr>
          <w:rFonts w:ascii="Arial" w:cs="Arial" w:eastAsia="Arial" w:hAnsi="Arial"/>
          <w:sz w:val="22"/>
          <w:szCs w:val="22"/>
        </w:rPr>
        <w:t xml:space="preserve">Advance the legal and technical recognition of Agent Passports as a valid form of non-human identity</w:t>
      </w:r>
    </w:p>
    <w:p>
      <w:pPr>
        <w:spacing w:after="120"/>
      </w:pPr>
      <w:r>
        <w:t xml:space="preserve"/>
      </w:r>
    </w:p>
    <w:p>
      <w:pPr>
        <w:pStyle w:val="Heading2"/>
      </w:pPr>
      <w:r>
        <w:rPr>
          <w:rFonts w:ascii="Arial" w:cs="Arial" w:eastAsia="Arial" w:hAnsi="Arial"/>
          <w:b/>
          <w:bCs/>
          <w:sz w:val="26"/>
          <w:szCs w:val="26"/>
        </w:rPr>
        <w:t xml:space="preserve">1.3 Governance Model</w:t>
      </w:r>
    </w:p>
    <w:p>
      <w:pPr>
        <w:spacing w:after="160"/>
      </w:pPr>
      <w:r>
        <w:rPr>
          <w:rFonts w:ascii="Arial" w:cs="Arial" w:eastAsia="Arial" w:hAnsi="Arial"/>
          <w:sz w:val="22"/>
          <w:szCs w:val="22"/>
        </w:rPr>
        <w:t xml:space="preserve">The Alliance is governed as an open, multi-stakeholder body. Governance mirrors the structure of established internet standards bodies:</w:t>
      </w:r>
    </w:p>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2200"/>
        <w:gridCol w:w="4560"/>
      </w:tblGrid>
      <w:tr>
        <w:tc>
          <w:tcPr>
            <w:tcW w:type="dxa" w:w="2600"/>
            <w:tcBorders>
              <w:top w:val="single" w:color="CCCCCC" w:sz="1"/>
              <w:left w:val="single" w:color="CCCCCC" w:sz="1"/>
              <w:bottom w:val="single" w:color="CCCCCC" w:sz="1"/>
              <w:right w:val="single" w:color="CCCCCC" w:sz="1"/>
            </w:tcBorders>
            <w:shd w:fill="4B1E6B" w:val="clear"/>
            <w:tcMar>
              <w:top w:type="dxa" w:w="80"/>
              <w:left w:type="dxa" w:w="120"/>
              <w:bottom w:type="dxa" w:w="80"/>
              <w:right w:type="dxa" w:w="120"/>
            </w:tcMar>
          </w:tcPr>
          <w:p>
            <w:r>
              <w:rPr>
                <w:rFonts w:ascii="Arial" w:cs="Arial" w:eastAsia="Arial" w:hAnsi="Arial"/>
                <w:b/>
                <w:bCs/>
                <w:color w:val="FFFFFF"/>
                <w:sz w:val="20"/>
                <w:szCs w:val="20"/>
              </w:rPr>
              <w:t xml:space="preserve">Alliance Role</w:t>
            </w:r>
          </w:p>
        </w:tc>
        <w:tc>
          <w:tcPr>
            <w:tcW w:type="dxa" w:w="2200"/>
            <w:tcBorders>
              <w:top w:val="single" w:color="CCCCCC" w:sz="1"/>
              <w:left w:val="single" w:color="CCCCCC" w:sz="1"/>
              <w:bottom w:val="single" w:color="CCCCCC" w:sz="1"/>
              <w:right w:val="single" w:color="CCCCCC" w:sz="1"/>
            </w:tcBorders>
            <w:shd w:fill="4B1E6B" w:val="clear"/>
            <w:tcMar>
              <w:top w:type="dxa" w:w="80"/>
              <w:left w:type="dxa" w:w="120"/>
              <w:bottom w:type="dxa" w:w="80"/>
              <w:right w:type="dxa" w:w="120"/>
            </w:tcMar>
          </w:tcPr>
          <w:p>
            <w:r>
              <w:rPr>
                <w:rFonts w:ascii="Arial" w:cs="Arial" w:eastAsia="Arial" w:hAnsi="Arial"/>
                <w:b/>
                <w:bCs/>
                <w:color w:val="FFFFFF"/>
                <w:sz w:val="20"/>
                <w:szCs w:val="20"/>
              </w:rPr>
              <w:t xml:space="preserve">Analogy</w:t>
            </w:r>
          </w:p>
        </w:tc>
        <w:tc>
          <w:tcPr>
            <w:tcW w:type="dxa" w:w="4560"/>
            <w:tcBorders>
              <w:top w:val="single" w:color="CCCCCC" w:sz="1"/>
              <w:left w:val="single" w:color="CCCCCC" w:sz="1"/>
              <w:bottom w:val="single" w:color="CCCCCC" w:sz="1"/>
              <w:right w:val="single" w:color="CCCCCC" w:sz="1"/>
            </w:tcBorders>
            <w:shd w:fill="4B1E6B" w:val="clear"/>
            <w:tcMar>
              <w:top w:type="dxa" w:w="80"/>
              <w:left w:type="dxa" w:w="120"/>
              <w:bottom w:type="dxa" w:w="80"/>
              <w:right w:type="dxa" w:w="120"/>
            </w:tcMar>
          </w:tcPr>
          <w:p>
            <w:r>
              <w:rPr>
                <w:rFonts w:ascii="Arial" w:cs="Arial" w:eastAsia="Arial" w:hAnsi="Arial"/>
                <w:b/>
                <w:bCs/>
                <w:color w:val="FFFFFF"/>
                <w:sz w:val="20"/>
                <w:szCs w:val="20"/>
              </w:rPr>
              <w:t xml:space="preserve">Responsibility</w:t>
            </w:r>
          </w:p>
        </w:tc>
      </w:tr>
      <w:tr>
        <w:tc>
          <w:tcPr>
            <w:tcW w:type="dxa" w:w="2600"/>
            <w:tcBorders>
              <w:top w:val="single" w:color="CCCCCC" w:sz="1"/>
              <w:left w:val="single" w:color="CCCCCC" w:sz="1"/>
              <w:bottom w:val="single" w:color="CCCCCC" w:sz="1"/>
              <w:right w:val="single" w:color="CCCCCC" w:sz="1"/>
            </w:tcBorders>
            <w:shd w:fill="F5F0FA" w:val="clear"/>
            <w:tcMar>
              <w:top w:type="dxa" w:w="80"/>
              <w:left w:type="dxa" w:w="120"/>
              <w:bottom w:type="dxa" w:w="80"/>
              <w:right w:type="dxa" w:w="120"/>
            </w:tcMar>
          </w:tcPr>
          <w:p>
            <w:r>
              <w:rPr>
                <w:rFonts w:ascii="Arial" w:cs="Arial" w:eastAsia="Arial" w:hAnsi="Arial"/>
                <w:b w:val="false"/>
                <w:bCs w:val="false"/>
                <w:color w:val="000000"/>
                <w:sz w:val="20"/>
                <w:szCs w:val="20"/>
              </w:rPr>
              <w:t xml:space="preserve">Alliance Steering Committee</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IANA / ICANN Board</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Sets policy, holds root key, admits Realm Issuers</w:t>
            </w:r>
          </w:p>
        </w:tc>
      </w:tr>
      <w:tr>
        <w:tc>
          <w:tcPr>
            <w:tcW w:type="dxa" w:w="2600"/>
            <w:tcBorders>
              <w:top w:val="single" w:color="CCCCCC" w:sz="1"/>
              <w:left w:val="single" w:color="CCCCCC" w:sz="1"/>
              <w:bottom w:val="single" w:color="CCCCCC" w:sz="1"/>
              <w:right w:val="single" w:color="CCCCCC" w:sz="1"/>
            </w:tcBorders>
            <w:shd w:fill="F5F0FA" w:val="clear"/>
            <w:tcMar>
              <w:top w:type="dxa" w:w="80"/>
              <w:left w:type="dxa" w:w="120"/>
              <w:bottom w:type="dxa" w:w="80"/>
              <w:right w:type="dxa" w:w="120"/>
            </w:tcMar>
          </w:tcPr>
          <w:p>
            <w:r>
              <w:rPr>
                <w:rFonts w:ascii="Arial" w:cs="Arial" w:eastAsia="Arial" w:hAnsi="Arial"/>
                <w:b w:val="false"/>
                <w:bCs w:val="false"/>
                <w:color w:val="000000"/>
                <w:sz w:val="20"/>
                <w:szCs w:val="20"/>
              </w:rPr>
              <w:t xml:space="preserve">Realm Issuers</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Intermediate Certificate Authorities</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Issue Agent Passports within their registered realm</w:t>
            </w:r>
          </w:p>
        </w:tc>
      </w:tr>
      <w:tr>
        <w:tc>
          <w:tcPr>
            <w:tcW w:type="dxa" w:w="2600"/>
            <w:tcBorders>
              <w:top w:val="single" w:color="CCCCCC" w:sz="1"/>
              <w:left w:val="single" w:color="CCCCCC" w:sz="1"/>
              <w:bottom w:val="single" w:color="CCCCCC" w:sz="1"/>
              <w:right w:val="single" w:color="CCCCCC" w:sz="1"/>
            </w:tcBorders>
            <w:shd w:fill="F5F0FA" w:val="clear"/>
            <w:tcMar>
              <w:top w:type="dxa" w:w="80"/>
              <w:left w:type="dxa" w:w="120"/>
              <w:bottom w:type="dxa" w:w="80"/>
              <w:right w:type="dxa" w:w="120"/>
            </w:tcMar>
          </w:tcPr>
          <w:p>
            <w:r>
              <w:rPr>
                <w:rFonts w:ascii="Arial" w:cs="Arial" w:eastAsia="Arial" w:hAnsi="Arial"/>
                <w:b w:val="false"/>
                <w:bCs w:val="false"/>
                <w:color w:val="000000"/>
                <w:sz w:val="20"/>
                <w:szCs w:val="20"/>
              </w:rPr>
              <w:t xml:space="preserve">Principal Operators</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Domain Registrants</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Register machines and agents, hold custodial authority</w:t>
            </w:r>
          </w:p>
        </w:tc>
      </w:tr>
      <w:tr>
        <w:tc>
          <w:tcPr>
            <w:tcW w:type="dxa" w:w="2600"/>
            <w:tcBorders>
              <w:top w:val="single" w:color="CCCCCC" w:sz="1"/>
              <w:left w:val="single" w:color="CCCCCC" w:sz="1"/>
              <w:bottom w:val="single" w:color="CCCCCC" w:sz="1"/>
              <w:right w:val="single" w:color="CCCCCC" w:sz="1"/>
            </w:tcBorders>
            <w:shd w:fill="F5F0FA" w:val="clear"/>
            <w:tcMar>
              <w:top w:type="dxa" w:w="80"/>
              <w:left w:type="dxa" w:w="120"/>
              <w:bottom w:type="dxa" w:w="80"/>
              <w:right w:type="dxa" w:w="120"/>
            </w:tcMar>
          </w:tcPr>
          <w:p>
            <w:r>
              <w:rPr>
                <w:rFonts w:ascii="Arial" w:cs="Arial" w:eastAsia="Arial" w:hAnsi="Arial"/>
                <w:b w:val="false"/>
                <w:bCs w:val="false"/>
                <w:color w:val="000000"/>
                <w:sz w:val="20"/>
                <w:szCs w:val="20"/>
              </w:rPr>
              <w:t xml:space="preserve">Contributing Members</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IETF Working Group Participants</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Propose spec amendments, implement tooling, review standards</w:t>
            </w:r>
          </w:p>
        </w:tc>
      </w:tr>
    </w:tbl>
    <w:p>
      <w:pPr>
        <w:spacing w:after="120"/>
      </w:pPr>
      <w:r>
        <w:t xml:space="preserve"/>
      </w:r>
    </w:p>
    <w:p>
      <w:r>
        <w:br w:type="page"/>
      </w:r>
    </w:p>
    <w:p>
      <w:pPr>
        <w:pStyle w:val="Heading1"/>
      </w:pPr>
      <w:r>
        <w:rPr>
          <w:rFonts w:ascii="Arial" w:cs="Arial" w:eastAsia="Arial" w:hAnsi="Arial"/>
          <w:b/>
          <w:bCs/>
          <w:sz w:val="32"/>
          <w:szCs w:val="32"/>
        </w:rPr>
        <w:t xml:space="preserve">Article II — The Root Key</w:t>
      </w:r>
    </w:p>
    <w:p>
      <w:pPr>
        <w:pStyle w:val="Heading2"/>
      </w:pPr>
      <w:r>
        <w:rPr>
          <w:rFonts w:ascii="Arial" w:cs="Arial" w:eastAsia="Arial" w:hAnsi="Arial"/>
          <w:b/>
          <w:bCs/>
          <w:sz w:val="26"/>
          <w:szCs w:val="26"/>
        </w:rPr>
        <w:t xml:space="preserve">2.1 Root Key Record</w:t>
      </w:r>
    </w:p>
    <w:p>
      <w:pPr>
        <w:spacing w:after="160"/>
      </w:pPr>
      <w:r>
        <w:rPr>
          <w:rFonts w:ascii="Arial" w:cs="Arial" w:eastAsia="Arial" w:hAnsi="Arial"/>
          <w:sz w:val="22"/>
          <w:szCs w:val="22"/>
        </w:rPr>
        <w:t xml:space="preserve">The Passport Alliance Root Key was generated on 2026-02-21 by Cory M. Gibson, founder and CEO of AetherPro Technologies LLC, in an air-gapped environment with no network connectivity. The ceremony was conducted on an offline machine with the storage medium physically disconnected from all networked infrastructure.</w:t>
      </w:r>
    </w:p>
    <w:p>
      <w:pPr>
        <w:spacing w:after="120"/>
      </w:pPr>
      <w:r>
        <w:t xml:space="preserve"/>
      </w:r>
    </w:p>
    <w:p>
      <w:pPr>
        <w:spacing w:after="160"/>
      </w:pPr>
      <w:r>
        <w:rPr>
          <w:rFonts w:ascii="Arial" w:cs="Arial" w:eastAsia="Arial" w:hAnsi="Arial"/>
          <w:sz w:val="22"/>
          <w:szCs w:val="22"/>
        </w:rPr>
        <w:t xml:space="preserve">The root key ceremony is the functional and legal equivalent of a WebTrust-audited Certificate Authority root key ceremony. It establishes the cryptographic anchor from which all APIS trust is derived.</w:t>
      </w:r>
    </w:p>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4B1E6B" w:val="clear"/>
            <w:tcMar>
              <w:top w:type="dxa" w:w="80"/>
              <w:left w:type="dxa" w:w="120"/>
              <w:bottom w:type="dxa" w:w="80"/>
              <w:right w:type="dxa" w:w="120"/>
            </w:tcMar>
          </w:tcPr>
          <w:p>
            <w:r>
              <w:rPr>
                <w:rFonts w:ascii="Arial" w:cs="Arial" w:eastAsia="Arial" w:hAnsi="Arial"/>
                <w:b/>
                <w:bCs/>
                <w:color w:val="FFFFFF"/>
                <w:sz w:val="20"/>
                <w:szCs w:val="20"/>
              </w:rPr>
              <w:t xml:space="preserve">Root Key Parameter</w:t>
            </w:r>
          </w:p>
        </w:tc>
        <w:tc>
          <w:tcPr>
            <w:tcW w:type="dxa" w:w="6360"/>
            <w:tcBorders>
              <w:top w:val="single" w:color="CCCCCC" w:sz="1"/>
              <w:left w:val="single" w:color="CCCCCC" w:sz="1"/>
              <w:bottom w:val="single" w:color="CCCCCC" w:sz="1"/>
              <w:right w:val="single" w:color="CCCCCC" w:sz="1"/>
            </w:tcBorders>
            <w:shd w:fill="4B1E6B" w:val="clear"/>
            <w:tcMar>
              <w:top w:type="dxa" w:w="80"/>
              <w:left w:type="dxa" w:w="120"/>
              <w:bottom w:type="dxa" w:w="80"/>
              <w:right w:type="dxa" w:w="120"/>
            </w:tcMar>
          </w:tcPr>
          <w:p>
            <w:r>
              <w:rPr>
                <w:rFonts w:ascii="Arial" w:cs="Arial" w:eastAsia="Arial" w:hAnsi="Arial"/>
                <w:b/>
                <w:bCs/>
                <w:color w:val="FFFFFF"/>
                <w:sz w:val="20"/>
                <w:szCs w:val="20"/>
              </w:rPr>
              <w:t xml:space="preserve">Value</w:t>
            </w:r>
          </w:p>
        </w:tc>
      </w:tr>
      <w:tr>
        <w:tc>
          <w:tcPr>
            <w:tcW w:type="dxa" w:w="3000"/>
            <w:tcBorders>
              <w:top w:val="single" w:color="CCCCCC" w:sz="1"/>
              <w:left w:val="single" w:color="CCCCCC" w:sz="1"/>
              <w:bottom w:val="single" w:color="CCCCCC" w:sz="1"/>
              <w:right w:val="single" w:color="CCCCCC" w:sz="1"/>
            </w:tcBorders>
            <w:shd w:fill="F5F0FA" w:val="clear"/>
            <w:tcMar>
              <w:top w:type="dxa" w:w="80"/>
              <w:left w:type="dxa" w:w="120"/>
              <w:bottom w:type="dxa" w:w="80"/>
              <w:right w:type="dxa" w:w="120"/>
            </w:tcMar>
          </w:tcPr>
          <w:p>
            <w:r>
              <w:rPr>
                <w:rFonts w:ascii="Arial" w:cs="Arial" w:eastAsia="Arial" w:hAnsi="Arial"/>
                <w:b w:val="false"/>
                <w:bCs w:val="false"/>
                <w:color w:val="000000"/>
                <w:sz w:val="20"/>
                <w:szCs w:val="20"/>
              </w:rPr>
              <w:t xml:space="preserve">Ceremony Date</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2026-02-21</w:t>
            </w:r>
          </w:p>
        </w:tc>
      </w:tr>
      <w:tr>
        <w:tc>
          <w:tcPr>
            <w:tcW w:type="dxa" w:w="3000"/>
            <w:tcBorders>
              <w:top w:val="single" w:color="CCCCCC" w:sz="1"/>
              <w:left w:val="single" w:color="CCCCCC" w:sz="1"/>
              <w:bottom w:val="single" w:color="CCCCCC" w:sz="1"/>
              <w:right w:val="single" w:color="CCCCCC" w:sz="1"/>
            </w:tcBorders>
            <w:shd w:fill="F5F0FA" w:val="clear"/>
            <w:tcMar>
              <w:top w:type="dxa" w:w="80"/>
              <w:left w:type="dxa" w:w="120"/>
              <w:bottom w:type="dxa" w:w="80"/>
              <w:right w:type="dxa" w:w="120"/>
            </w:tcMar>
          </w:tcPr>
          <w:p>
            <w:r>
              <w:rPr>
                <w:rFonts w:ascii="Arial" w:cs="Arial" w:eastAsia="Arial" w:hAnsi="Arial"/>
                <w:b w:val="false"/>
                <w:bCs w:val="false"/>
                <w:color w:val="000000"/>
                <w:sz w:val="20"/>
                <w:szCs w:val="20"/>
              </w:rPr>
              <w:t xml:space="preserve">Ceremony Conductor</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Cory M. Gibson, AetherPro Technologies LLC</w:t>
            </w:r>
          </w:p>
        </w:tc>
      </w:tr>
      <w:tr>
        <w:tc>
          <w:tcPr>
            <w:tcW w:type="dxa" w:w="3000"/>
            <w:tcBorders>
              <w:top w:val="single" w:color="CCCCCC" w:sz="1"/>
              <w:left w:val="single" w:color="CCCCCC" w:sz="1"/>
              <w:bottom w:val="single" w:color="CCCCCC" w:sz="1"/>
              <w:right w:val="single" w:color="CCCCCC" w:sz="1"/>
            </w:tcBorders>
            <w:shd w:fill="F5F0FA" w:val="clear"/>
            <w:tcMar>
              <w:top w:type="dxa" w:w="80"/>
              <w:left w:type="dxa" w:w="120"/>
              <w:bottom w:type="dxa" w:w="80"/>
              <w:right w:type="dxa" w:w="120"/>
            </w:tcMar>
          </w:tcPr>
          <w:p>
            <w:r>
              <w:rPr>
                <w:rFonts w:ascii="Arial" w:cs="Arial" w:eastAsia="Arial" w:hAnsi="Arial"/>
                <w:b w:val="false"/>
                <w:bCs w:val="false"/>
                <w:color w:val="000000"/>
                <w:sz w:val="20"/>
                <w:szCs w:val="20"/>
              </w:rPr>
              <w:t xml:space="preserve">Key Algorithm</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ECDSA P-384 (FIPS 186-4 compliant)</w:t>
            </w:r>
          </w:p>
        </w:tc>
      </w:tr>
      <w:tr>
        <w:tc>
          <w:tcPr>
            <w:tcW w:type="dxa" w:w="3000"/>
            <w:tcBorders>
              <w:top w:val="single" w:color="CCCCCC" w:sz="1"/>
              <w:left w:val="single" w:color="CCCCCC" w:sz="1"/>
              <w:bottom w:val="single" w:color="CCCCCC" w:sz="1"/>
              <w:right w:val="single" w:color="CCCCCC" w:sz="1"/>
            </w:tcBorders>
            <w:shd w:fill="F5F0FA" w:val="clear"/>
            <w:tcMar>
              <w:top w:type="dxa" w:w="80"/>
              <w:left w:type="dxa" w:w="120"/>
              <w:bottom w:type="dxa" w:w="80"/>
              <w:right w:type="dxa" w:w="120"/>
            </w:tcMar>
          </w:tcPr>
          <w:p>
            <w:r>
              <w:rPr>
                <w:rFonts w:ascii="Arial" w:cs="Arial" w:eastAsia="Arial" w:hAnsi="Arial"/>
                <w:b w:val="false"/>
                <w:bCs w:val="false"/>
                <w:color w:val="000000"/>
                <w:sz w:val="20"/>
                <w:szCs w:val="20"/>
              </w:rPr>
              <w:t xml:space="preserve">Key Storage</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Air-gapped hardware security module</w:t>
            </w:r>
          </w:p>
        </w:tc>
      </w:tr>
      <w:tr>
        <w:tc>
          <w:tcPr>
            <w:tcW w:type="dxa" w:w="3000"/>
            <w:tcBorders>
              <w:top w:val="single" w:color="CCCCCC" w:sz="1"/>
              <w:left w:val="single" w:color="CCCCCC" w:sz="1"/>
              <w:bottom w:val="single" w:color="CCCCCC" w:sz="1"/>
              <w:right w:val="single" w:color="CCCCCC" w:sz="1"/>
            </w:tcBorders>
            <w:shd w:fill="F5F0FA" w:val="clear"/>
            <w:tcMar>
              <w:top w:type="dxa" w:w="80"/>
              <w:left w:type="dxa" w:w="120"/>
              <w:bottom w:type="dxa" w:w="80"/>
              <w:right w:type="dxa" w:w="120"/>
            </w:tcMar>
          </w:tcPr>
          <w:p>
            <w:r>
              <w:rPr>
                <w:rFonts w:ascii="Arial" w:cs="Arial" w:eastAsia="Arial" w:hAnsi="Arial"/>
                <w:b w:val="false"/>
                <w:bCs w:val="false"/>
                <w:color w:val="000000"/>
                <w:sz w:val="20"/>
                <w:szCs w:val="20"/>
              </w:rPr>
              <w:t xml:space="preserve">Public Key Publication</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https://aetherpro.us/.well-known/alliance-root.jwk</w:t>
            </w:r>
          </w:p>
        </w:tc>
      </w:tr>
      <w:tr>
        <w:tc>
          <w:tcPr>
            <w:tcW w:type="dxa" w:w="3000"/>
            <w:tcBorders>
              <w:top w:val="single" w:color="CCCCCC" w:sz="1"/>
              <w:left w:val="single" w:color="CCCCCC" w:sz="1"/>
              <w:bottom w:val="single" w:color="CCCCCC" w:sz="1"/>
              <w:right w:val="single" w:color="CCCCCC" w:sz="1"/>
            </w:tcBorders>
            <w:shd w:fill="F5F0FA" w:val="clear"/>
            <w:tcMar>
              <w:top w:type="dxa" w:w="80"/>
              <w:left w:type="dxa" w:w="120"/>
              <w:bottom w:type="dxa" w:w="80"/>
              <w:right w:type="dxa" w:w="120"/>
            </w:tcMar>
          </w:tcPr>
          <w:p>
            <w:r>
              <w:rPr>
                <w:rFonts w:ascii="Arial" w:cs="Arial" w:eastAsia="Arial" w:hAnsi="Arial"/>
                <w:b w:val="false"/>
                <w:bCs w:val="false"/>
                <w:color w:val="000000"/>
                <w:sz w:val="20"/>
                <w:szCs w:val="20"/>
              </w:rPr>
              <w:t xml:space="preserve">Zenodo DOI</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https://doi.org/10.5281/zenodo.18820877</w:t>
            </w:r>
          </w:p>
        </w:tc>
      </w:tr>
      <w:tr>
        <w:tc>
          <w:tcPr>
            <w:tcW w:type="dxa" w:w="3000"/>
            <w:tcBorders>
              <w:top w:val="single" w:color="CCCCCC" w:sz="1"/>
              <w:left w:val="single" w:color="CCCCCC" w:sz="1"/>
              <w:bottom w:val="single" w:color="CCCCCC" w:sz="1"/>
              <w:right w:val="single" w:color="CCCCCC" w:sz="1"/>
            </w:tcBorders>
            <w:shd w:fill="F5F0FA" w:val="clear"/>
            <w:tcMar>
              <w:top w:type="dxa" w:w="80"/>
              <w:left w:type="dxa" w:w="120"/>
              <w:bottom w:type="dxa" w:w="80"/>
              <w:right w:type="dxa" w:w="120"/>
            </w:tcMar>
          </w:tcPr>
          <w:p>
            <w:r>
              <w:rPr>
                <w:rFonts w:ascii="Arial" w:cs="Arial" w:eastAsia="Arial" w:hAnsi="Arial"/>
                <w:b w:val="false"/>
                <w:bCs w:val="false"/>
                <w:color w:val="000000"/>
                <w:sz w:val="20"/>
                <w:szCs w:val="20"/>
              </w:rPr>
              <w:t xml:space="preserve">Key Usage</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Signs Realm Issuer certificates only — never signs Agent Passports directly</w:t>
            </w:r>
          </w:p>
        </w:tc>
      </w:tr>
      <w:tr>
        <w:tc>
          <w:tcPr>
            <w:tcW w:type="dxa" w:w="3000"/>
            <w:tcBorders>
              <w:top w:val="single" w:color="CCCCCC" w:sz="1"/>
              <w:left w:val="single" w:color="CCCCCC" w:sz="1"/>
              <w:bottom w:val="single" w:color="CCCCCC" w:sz="1"/>
              <w:right w:val="single" w:color="CCCCCC" w:sz="1"/>
            </w:tcBorders>
            <w:shd w:fill="F5F0FA" w:val="clear"/>
            <w:tcMar>
              <w:top w:type="dxa" w:w="80"/>
              <w:left w:type="dxa" w:w="120"/>
              <w:bottom w:type="dxa" w:w="80"/>
              <w:right w:type="dxa" w:w="120"/>
            </w:tcMar>
          </w:tcPr>
          <w:p>
            <w:r>
              <w:rPr>
                <w:rFonts w:ascii="Arial" w:cs="Arial" w:eastAsia="Arial" w:hAnsi="Arial"/>
                <w:b w:val="false"/>
                <w:bCs w:val="false"/>
                <w:color w:val="000000"/>
                <w:sz w:val="20"/>
                <w:szCs w:val="20"/>
              </w:rPr>
              <w:t xml:space="preserve">Renewal Policy</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Root key ceremony repeated every 5 years or upon compromise suspicion</w:t>
            </w:r>
          </w:p>
        </w:tc>
      </w:tr>
    </w:tbl>
    <w:p>
      <w:pPr>
        <w:spacing w:after="120"/>
      </w:pPr>
      <w:r>
        <w:t xml:space="preserve"/>
      </w:r>
    </w:p>
    <w:p>
      <w:pPr>
        <w:pStyle w:val="Heading2"/>
      </w:pPr>
      <w:r>
        <w:rPr>
          <w:rFonts w:ascii="Arial" w:cs="Arial" w:eastAsia="Arial" w:hAnsi="Arial"/>
          <w:b/>
          <w:bCs/>
          <w:sz w:val="26"/>
          <w:szCs w:val="26"/>
        </w:rPr>
        <w:t xml:space="preserve">2.2 Root Key Custodianship</w:t>
      </w:r>
    </w:p>
    <w:p>
      <w:pPr>
        <w:spacing w:after="160"/>
      </w:pPr>
      <w:r>
        <w:rPr>
          <w:rFonts w:ascii="Arial" w:cs="Arial" w:eastAsia="Arial" w:hAnsi="Arial"/>
          <w:sz w:val="22"/>
          <w:szCs w:val="22"/>
        </w:rPr>
        <w:t xml:space="preserve">The root key is held exclusively by the Alliance Steering Committee. The founding custodian is AetherPro Technologies LLC. As the Alliance matures and additional Steering Committee members are admitted, root key custodianship shall be distributed across a minimum of three geographically separate keyholders using Shamir's Secret Sharing (minimum 2-of-3 threshold).</w:t>
      </w:r>
    </w:p>
    <w:p>
      <w:pPr>
        <w:spacing w:after="120"/>
      </w:pPr>
      <w:r>
        <w:t xml:space="preserve"/>
      </w:r>
    </w:p>
    <w:p>
      <w:pPr>
        <w:pStyle w:val="Heading2"/>
      </w:pPr>
      <w:r>
        <w:rPr>
          <w:rFonts w:ascii="Arial" w:cs="Arial" w:eastAsia="Arial" w:hAnsi="Arial"/>
          <w:b/>
          <w:bCs/>
          <w:sz w:val="26"/>
          <w:szCs w:val="26"/>
        </w:rPr>
        <w:t xml:space="preserve">2.3 Root Key Compromise Protocol</w:t>
      </w:r>
    </w:p>
    <w:p>
      <w:pPr>
        <w:spacing w:after="160"/>
      </w:pPr>
      <w:r>
        <w:rPr>
          <w:rFonts w:ascii="Arial" w:cs="Arial" w:eastAsia="Arial" w:hAnsi="Arial"/>
          <w:sz w:val="22"/>
          <w:szCs w:val="22"/>
        </w:rPr>
        <w:t xml:space="preserve">In the event of confirmed or suspected root key compromise:</w:t>
      </w:r>
    </w:p>
    <w:p>
      <w:pPr>
        <w:pStyle w:val="ListParagraph"/>
        <w:numPr>
          <w:ilvl w:val="0"/>
          <w:numId w:val="3"/>
        </w:numPr>
        <w:spacing w:after="100"/>
      </w:pPr>
      <w:r>
        <w:rPr>
          <w:rFonts w:ascii="Arial" w:cs="Arial" w:eastAsia="Arial" w:hAnsi="Arial"/>
          <w:sz w:val="22"/>
          <w:szCs w:val="22"/>
        </w:rPr>
        <w:t xml:space="preserve">All Realm Issuer certificates are immediately revoked</w:t>
      </w:r>
    </w:p>
    <w:p>
      <w:pPr>
        <w:pStyle w:val="ListParagraph"/>
        <w:numPr>
          <w:ilvl w:val="0"/>
          <w:numId w:val="3"/>
        </w:numPr>
        <w:spacing w:after="100"/>
      </w:pPr>
      <w:r>
        <w:rPr>
          <w:rFonts w:ascii="Arial" w:cs="Arial" w:eastAsia="Arial" w:hAnsi="Arial"/>
          <w:sz w:val="22"/>
          <w:szCs w:val="22"/>
        </w:rPr>
        <w:t xml:space="preserve">A public notice is published within 24 hours at passportalliance.org</w:t>
      </w:r>
    </w:p>
    <w:p>
      <w:pPr>
        <w:pStyle w:val="ListParagraph"/>
        <w:numPr>
          <w:ilvl w:val="0"/>
          <w:numId w:val="3"/>
        </w:numPr>
        <w:spacing w:after="100"/>
      </w:pPr>
      <w:r>
        <w:rPr>
          <w:rFonts w:ascii="Arial" w:cs="Arial" w:eastAsia="Arial" w:hAnsi="Arial"/>
          <w:sz w:val="22"/>
          <w:szCs w:val="22"/>
        </w:rPr>
        <w:t xml:space="preserve">A new root key ceremony is convened within 72 hours</w:t>
      </w:r>
    </w:p>
    <w:p>
      <w:pPr>
        <w:pStyle w:val="ListParagraph"/>
        <w:numPr>
          <w:ilvl w:val="0"/>
          <w:numId w:val="3"/>
        </w:numPr>
        <w:spacing w:after="100"/>
      </w:pPr>
      <w:r>
        <w:rPr>
          <w:rFonts w:ascii="Arial" w:cs="Arial" w:eastAsia="Arial" w:hAnsi="Arial"/>
          <w:sz w:val="22"/>
          <w:szCs w:val="22"/>
        </w:rPr>
        <w:t xml:space="preserve">All Realm Issuers must re-certify against the new root</w:t>
      </w:r>
    </w:p>
    <w:p>
      <w:pPr>
        <w:pStyle w:val="ListParagraph"/>
        <w:numPr>
          <w:ilvl w:val="0"/>
          <w:numId w:val="3"/>
        </w:numPr>
        <w:spacing w:after="100"/>
      </w:pPr>
      <w:r>
        <w:rPr>
          <w:rFonts w:ascii="Arial" w:cs="Arial" w:eastAsia="Arial" w:hAnsi="Arial"/>
          <w:sz w:val="22"/>
          <w:szCs w:val="22"/>
        </w:rPr>
        <w:t xml:space="preserve">All Agent Passports issued under the prior root are revoked and must be re-issued</w:t>
      </w:r>
    </w:p>
    <w:p>
      <w:pPr>
        <w:spacing w:after="120"/>
      </w:pPr>
      <w:r>
        <w:t xml:space="preserve"/>
      </w:r>
    </w:p>
    <w:p>
      <w:r>
        <w:br w:type="page"/>
      </w:r>
    </w:p>
    <w:p>
      <w:pPr>
        <w:pStyle w:val="Heading1"/>
      </w:pPr>
      <w:r>
        <w:rPr>
          <w:rFonts w:ascii="Arial" w:cs="Arial" w:eastAsia="Arial" w:hAnsi="Arial"/>
          <w:b/>
          <w:bCs/>
          <w:sz w:val="32"/>
          <w:szCs w:val="32"/>
        </w:rPr>
        <w:t xml:space="preserve">Article III — Realm Issuers</w:t>
      </w:r>
    </w:p>
    <w:p>
      <w:pPr>
        <w:pStyle w:val="Heading2"/>
      </w:pPr>
      <w:r>
        <w:rPr>
          <w:rFonts w:ascii="Arial" w:cs="Arial" w:eastAsia="Arial" w:hAnsi="Arial"/>
          <w:b/>
          <w:bCs/>
          <w:sz w:val="26"/>
          <w:szCs w:val="26"/>
        </w:rPr>
        <w:t xml:space="preserve">3.1 Definition</w:t>
      </w:r>
    </w:p>
    <w:p>
      <w:pPr>
        <w:spacing w:after="160"/>
      </w:pPr>
      <w:r>
        <w:rPr>
          <w:rFonts w:ascii="Arial" w:cs="Arial" w:eastAsia="Arial" w:hAnsi="Arial"/>
          <w:sz w:val="22"/>
          <w:szCs w:val="22"/>
        </w:rPr>
        <w:t xml:space="preserve">A Realm Issuer is an organization that has met Alliance admission standards and is authorized to issue APIS-compliant Agent Passports within one or more registered realms (domains). Realm Issuers operate as intermediate certificate authorities in the APIS trust chain.</w:t>
      </w:r>
    </w:p>
    <w:p>
      <w:pPr>
        <w:spacing w:after="120"/>
      </w:pPr>
      <w:r>
        <w:t xml:space="preserve"/>
      </w:r>
    </w:p>
    <w:p>
      <w:pPr>
        <w:pStyle w:val="Heading2"/>
      </w:pPr>
      <w:r>
        <w:rPr>
          <w:rFonts w:ascii="Arial" w:cs="Arial" w:eastAsia="Arial" w:hAnsi="Arial"/>
          <w:b/>
          <w:bCs/>
          <w:sz w:val="26"/>
          <w:szCs w:val="26"/>
        </w:rPr>
        <w:t xml:space="preserve">3.2 Admission Requirements</w:t>
      </w:r>
    </w:p>
    <w:p>
      <w:pPr>
        <w:spacing w:after="160"/>
      </w:pPr>
      <w:r>
        <w:rPr>
          <w:rFonts w:ascii="Arial" w:cs="Arial" w:eastAsia="Arial" w:hAnsi="Arial"/>
          <w:sz w:val="22"/>
          <w:szCs w:val="22"/>
        </w:rPr>
        <w:t xml:space="preserve">Any organization may apply for Realm Issuer status by satisfying the following requirements:</w:t>
      </w:r>
    </w:p>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4B1E6B" w:val="clear"/>
            <w:tcMar>
              <w:top w:type="dxa" w:w="80"/>
              <w:left w:type="dxa" w:w="120"/>
              <w:bottom w:type="dxa" w:w="80"/>
              <w:right w:type="dxa" w:w="120"/>
            </w:tcMar>
          </w:tcPr>
          <w:p>
            <w:r>
              <w:rPr>
                <w:rFonts w:ascii="Arial" w:cs="Arial" w:eastAsia="Arial" w:hAnsi="Arial"/>
                <w:b/>
                <w:bCs/>
                <w:color w:val="FFFFFF"/>
                <w:sz w:val="20"/>
                <w:szCs w:val="20"/>
              </w:rPr>
              <w:t xml:space="preserve">Requirement</w:t>
            </w:r>
          </w:p>
        </w:tc>
        <w:tc>
          <w:tcPr>
            <w:tcW w:type="dxa" w:w="6560"/>
            <w:tcBorders>
              <w:top w:val="single" w:color="CCCCCC" w:sz="1"/>
              <w:left w:val="single" w:color="CCCCCC" w:sz="1"/>
              <w:bottom w:val="single" w:color="CCCCCC" w:sz="1"/>
              <w:right w:val="single" w:color="CCCCCC" w:sz="1"/>
            </w:tcBorders>
            <w:shd w:fill="4B1E6B"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2800"/>
            <w:tcBorders>
              <w:top w:val="single" w:color="CCCCCC" w:sz="1"/>
              <w:left w:val="single" w:color="CCCCCC" w:sz="1"/>
              <w:bottom w:val="single" w:color="CCCCCC" w:sz="1"/>
              <w:right w:val="single" w:color="CCCCCC" w:sz="1"/>
            </w:tcBorders>
            <w:shd w:fill="F5F0FA" w:val="clear"/>
            <w:tcMar>
              <w:top w:type="dxa" w:w="80"/>
              <w:left w:type="dxa" w:w="120"/>
              <w:bottom w:type="dxa" w:w="80"/>
              <w:right w:type="dxa" w:w="120"/>
            </w:tcMar>
          </w:tcPr>
          <w:p>
            <w:r>
              <w:rPr>
                <w:rFonts w:ascii="Arial" w:cs="Arial" w:eastAsia="Arial" w:hAnsi="Arial"/>
                <w:b w:val="false"/>
                <w:bCs w:val="false"/>
                <w:color w:val="000000"/>
                <w:sz w:val="20"/>
                <w:szCs w:val="20"/>
              </w:rPr>
              <w:t xml:space="preserve">Legal Entity</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Applicant must be a registered legal entity (LLC, Corp, Partnership, or equivalent) in any jurisdiction.</w:t>
            </w:r>
          </w:p>
        </w:tc>
      </w:tr>
      <w:tr>
        <w:tc>
          <w:tcPr>
            <w:tcW w:type="dxa" w:w="2800"/>
            <w:tcBorders>
              <w:top w:val="single" w:color="CCCCCC" w:sz="1"/>
              <w:left w:val="single" w:color="CCCCCC" w:sz="1"/>
              <w:bottom w:val="single" w:color="CCCCCC" w:sz="1"/>
              <w:right w:val="single" w:color="CCCCCC" w:sz="1"/>
            </w:tcBorders>
            <w:shd w:fill="F5F0FA" w:val="clear"/>
            <w:tcMar>
              <w:top w:type="dxa" w:w="80"/>
              <w:left w:type="dxa" w:w="120"/>
              <w:bottom w:type="dxa" w:w="80"/>
              <w:right w:type="dxa" w:w="120"/>
            </w:tcMar>
          </w:tcPr>
          <w:p>
            <w:r>
              <w:rPr>
                <w:rFonts w:ascii="Arial" w:cs="Arial" w:eastAsia="Arial" w:hAnsi="Arial"/>
                <w:b w:val="false"/>
                <w:bCs w:val="false"/>
                <w:color w:val="000000"/>
                <w:sz w:val="20"/>
                <w:szCs w:val="20"/>
              </w:rPr>
              <w:t xml:space="preserve">Domain Control</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Applicant must demonstrate control of the realm domain(s) they intend to operate via DNS challenge.</w:t>
            </w:r>
          </w:p>
        </w:tc>
      </w:tr>
      <w:tr>
        <w:tc>
          <w:tcPr>
            <w:tcW w:type="dxa" w:w="2800"/>
            <w:tcBorders>
              <w:top w:val="single" w:color="CCCCCC" w:sz="1"/>
              <w:left w:val="single" w:color="CCCCCC" w:sz="1"/>
              <w:bottom w:val="single" w:color="CCCCCC" w:sz="1"/>
              <w:right w:val="single" w:color="CCCCCC" w:sz="1"/>
            </w:tcBorders>
            <w:shd w:fill="F5F0FA" w:val="clear"/>
            <w:tcMar>
              <w:top w:type="dxa" w:w="80"/>
              <w:left w:type="dxa" w:w="120"/>
              <w:bottom w:type="dxa" w:w="80"/>
              <w:right w:type="dxa" w:w="120"/>
            </w:tcMar>
          </w:tcPr>
          <w:p>
            <w:r>
              <w:rPr>
                <w:rFonts w:ascii="Arial" w:cs="Arial" w:eastAsia="Arial" w:hAnsi="Arial"/>
                <w:b w:val="false"/>
                <w:bCs w:val="false"/>
                <w:color w:val="000000"/>
                <w:sz w:val="20"/>
                <w:szCs w:val="20"/>
              </w:rPr>
              <w:t xml:space="preserve">Technical Compliance</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Applicant must operate an APIS-APP compliant issuance endpoint, revocation endpoint, and public JWKS endpoint.</w:t>
            </w:r>
          </w:p>
        </w:tc>
      </w:tr>
      <w:tr>
        <w:tc>
          <w:tcPr>
            <w:tcW w:type="dxa" w:w="2800"/>
            <w:tcBorders>
              <w:top w:val="single" w:color="CCCCCC" w:sz="1"/>
              <w:left w:val="single" w:color="CCCCCC" w:sz="1"/>
              <w:bottom w:val="single" w:color="CCCCCC" w:sz="1"/>
              <w:right w:val="single" w:color="CCCCCC" w:sz="1"/>
            </w:tcBorders>
            <w:shd w:fill="F5F0FA" w:val="clear"/>
            <w:tcMar>
              <w:top w:type="dxa" w:w="80"/>
              <w:left w:type="dxa" w:w="120"/>
              <w:bottom w:type="dxa" w:w="80"/>
              <w:right w:type="dxa" w:w="120"/>
            </w:tcMar>
          </w:tcPr>
          <w:p>
            <w:r>
              <w:rPr>
                <w:rFonts w:ascii="Arial" w:cs="Arial" w:eastAsia="Arial" w:hAnsi="Arial"/>
                <w:b w:val="false"/>
                <w:bCs w:val="false"/>
                <w:color w:val="000000"/>
                <w:sz w:val="20"/>
                <w:szCs w:val="20"/>
              </w:rPr>
              <w:t xml:space="preserve">FIPS Cryptography</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All issued certificates must use FIPS 186-4 compliant key generation (ECDSA P-256 minimum, RSA-2048 minimum).</w:t>
            </w:r>
          </w:p>
        </w:tc>
      </w:tr>
      <w:tr>
        <w:tc>
          <w:tcPr>
            <w:tcW w:type="dxa" w:w="2800"/>
            <w:tcBorders>
              <w:top w:val="single" w:color="CCCCCC" w:sz="1"/>
              <w:left w:val="single" w:color="CCCCCC" w:sz="1"/>
              <w:bottom w:val="single" w:color="CCCCCC" w:sz="1"/>
              <w:right w:val="single" w:color="CCCCCC" w:sz="1"/>
            </w:tcBorders>
            <w:shd w:fill="F5F0FA" w:val="clear"/>
            <w:tcMar>
              <w:top w:type="dxa" w:w="80"/>
              <w:left w:type="dxa" w:w="120"/>
              <w:bottom w:type="dxa" w:w="80"/>
              <w:right w:type="dxa" w:w="120"/>
            </w:tcMar>
          </w:tcPr>
          <w:p>
            <w:r>
              <w:rPr>
                <w:rFonts w:ascii="Arial" w:cs="Arial" w:eastAsia="Arial" w:hAnsi="Arial"/>
                <w:b w:val="false"/>
                <w:bCs w:val="false"/>
                <w:color w:val="000000"/>
                <w:sz w:val="20"/>
                <w:szCs w:val="20"/>
              </w:rPr>
              <w:t xml:space="preserve">Audit Logging</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Applicant must maintain tamper-evident audit logs of all Passport issuance and revocation events for a minimum of 3 years.</w:t>
            </w:r>
          </w:p>
        </w:tc>
      </w:tr>
      <w:tr>
        <w:tc>
          <w:tcPr>
            <w:tcW w:type="dxa" w:w="2800"/>
            <w:tcBorders>
              <w:top w:val="single" w:color="CCCCCC" w:sz="1"/>
              <w:left w:val="single" w:color="CCCCCC" w:sz="1"/>
              <w:bottom w:val="single" w:color="CCCCCC" w:sz="1"/>
              <w:right w:val="single" w:color="CCCCCC" w:sz="1"/>
            </w:tcBorders>
            <w:shd w:fill="F5F0FA" w:val="clear"/>
            <w:tcMar>
              <w:top w:type="dxa" w:w="80"/>
              <w:left w:type="dxa" w:w="120"/>
              <w:bottom w:type="dxa" w:w="80"/>
              <w:right w:type="dxa" w:w="120"/>
            </w:tcMar>
          </w:tcPr>
          <w:p>
            <w:r>
              <w:rPr>
                <w:rFonts w:ascii="Arial" w:cs="Arial" w:eastAsia="Arial" w:hAnsi="Arial"/>
                <w:b w:val="false"/>
                <w:bCs w:val="false"/>
                <w:color w:val="000000"/>
                <w:sz w:val="20"/>
                <w:szCs w:val="20"/>
              </w:rPr>
              <w:t xml:space="preserve">Revocation SLA</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Applicant must commit to processing revocation requests within 4 hours of receipt.</w:t>
            </w:r>
          </w:p>
        </w:tc>
      </w:tr>
      <w:tr>
        <w:tc>
          <w:tcPr>
            <w:tcW w:type="dxa" w:w="2800"/>
            <w:tcBorders>
              <w:top w:val="single" w:color="CCCCCC" w:sz="1"/>
              <w:left w:val="single" w:color="CCCCCC" w:sz="1"/>
              <w:bottom w:val="single" w:color="CCCCCC" w:sz="1"/>
              <w:right w:val="single" w:color="CCCCCC" w:sz="1"/>
            </w:tcBorders>
            <w:shd w:fill="F5F0FA" w:val="clear"/>
            <w:tcMar>
              <w:top w:type="dxa" w:w="80"/>
              <w:left w:type="dxa" w:w="120"/>
              <w:bottom w:type="dxa" w:w="80"/>
              <w:right w:type="dxa" w:w="120"/>
            </w:tcMar>
          </w:tcPr>
          <w:p>
            <w:r>
              <w:rPr>
                <w:rFonts w:ascii="Arial" w:cs="Arial" w:eastAsia="Arial" w:hAnsi="Arial"/>
                <w:b w:val="false"/>
                <w:bCs w:val="false"/>
                <w:color w:val="000000"/>
                <w:sz w:val="20"/>
                <w:szCs w:val="20"/>
              </w:rPr>
              <w:t xml:space="preserve">APIS Agreement</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Applicant must sign the Realm Issuer Agreement accepting the APIS standard terms and the Alliance governance authority.</w:t>
            </w:r>
          </w:p>
        </w:tc>
      </w:tr>
    </w:tbl>
    <w:p>
      <w:pPr>
        <w:spacing w:after="120"/>
      </w:pPr>
      <w:r>
        <w:t xml:space="preserve"/>
      </w:r>
    </w:p>
    <w:p>
      <w:pPr>
        <w:pStyle w:val="Heading2"/>
      </w:pPr>
      <w:r>
        <w:rPr>
          <w:rFonts w:ascii="Arial" w:cs="Arial" w:eastAsia="Arial" w:hAnsi="Arial"/>
          <w:b/>
          <w:bCs/>
          <w:sz w:val="26"/>
          <w:szCs w:val="26"/>
        </w:rPr>
        <w:t xml:space="preserve">3.3 Admission Process</w:t>
      </w:r>
    </w:p>
    <w:p>
      <w:pPr>
        <w:pStyle w:val="ListParagraph"/>
        <w:numPr>
          <w:ilvl w:val="0"/>
          <w:numId w:val="3"/>
        </w:numPr>
        <w:spacing w:after="100"/>
      </w:pPr>
      <w:r>
        <w:rPr>
          <w:rFonts w:ascii="Arial" w:cs="Arial" w:eastAsia="Arial" w:hAnsi="Arial"/>
          <w:sz w:val="22"/>
          <w:szCs w:val="22"/>
        </w:rPr>
        <w:t xml:space="preserve">Applicant submits Realm Issuer Application via passportalliance.org/apply</w:t>
      </w:r>
    </w:p>
    <w:p>
      <w:pPr>
        <w:pStyle w:val="ListParagraph"/>
        <w:numPr>
          <w:ilvl w:val="0"/>
          <w:numId w:val="3"/>
        </w:numPr>
        <w:spacing w:after="100"/>
      </w:pPr>
      <w:r>
        <w:rPr>
          <w:rFonts w:ascii="Arial" w:cs="Arial" w:eastAsia="Arial" w:hAnsi="Arial"/>
          <w:sz w:val="22"/>
          <w:szCs w:val="22"/>
        </w:rPr>
        <w:t xml:space="preserve">Alliance Steering Committee reviews application within 30 days</w:t>
      </w:r>
    </w:p>
    <w:p>
      <w:pPr>
        <w:pStyle w:val="ListParagraph"/>
        <w:numPr>
          <w:ilvl w:val="0"/>
          <w:numId w:val="3"/>
        </w:numPr>
        <w:spacing w:after="100"/>
      </w:pPr>
      <w:r>
        <w:rPr>
          <w:rFonts w:ascii="Arial" w:cs="Arial" w:eastAsia="Arial" w:hAnsi="Arial"/>
          <w:sz w:val="22"/>
          <w:szCs w:val="22"/>
        </w:rPr>
        <w:t xml:space="preserve">Technical compliance audit conducted by Alliance or designated auditor</w:t>
      </w:r>
    </w:p>
    <w:p>
      <w:pPr>
        <w:pStyle w:val="ListParagraph"/>
        <w:numPr>
          <w:ilvl w:val="0"/>
          <w:numId w:val="3"/>
        </w:numPr>
        <w:spacing w:after="100"/>
      </w:pPr>
      <w:r>
        <w:rPr>
          <w:rFonts w:ascii="Arial" w:cs="Arial" w:eastAsia="Arial" w:hAnsi="Arial"/>
          <w:sz w:val="22"/>
          <w:szCs w:val="22"/>
        </w:rPr>
        <w:t xml:space="preserve">Upon approval, Alliance issues a Realm Issuer Certificate signed by the Alliance Root Key</w:t>
      </w:r>
    </w:p>
    <w:p>
      <w:pPr>
        <w:pStyle w:val="ListParagraph"/>
        <w:numPr>
          <w:ilvl w:val="0"/>
          <w:numId w:val="3"/>
        </w:numPr>
        <w:spacing w:after="100"/>
      </w:pPr>
      <w:r>
        <w:rPr>
          <w:rFonts w:ascii="Arial" w:cs="Arial" w:eastAsia="Arial" w:hAnsi="Arial"/>
          <w:sz w:val="22"/>
          <w:szCs w:val="22"/>
        </w:rPr>
        <w:t xml:space="preserve">Realm Issuer Certificate is valid for 2 years, renewable upon re-audit</w:t>
      </w:r>
    </w:p>
    <w:p>
      <w:pPr>
        <w:spacing w:after="120"/>
      </w:pPr>
      <w:r>
        <w:t xml:space="preserve"/>
      </w:r>
    </w:p>
    <w:p>
      <w:pPr>
        <w:pStyle w:val="Heading2"/>
      </w:pPr>
      <w:r>
        <w:rPr>
          <w:rFonts w:ascii="Arial" w:cs="Arial" w:eastAsia="Arial" w:hAnsi="Arial"/>
          <w:b/>
          <w:bCs/>
          <w:sz w:val="26"/>
          <w:szCs w:val="26"/>
        </w:rPr>
        <w:t xml:space="preserve">3.4 Realm Issuer Obligations</w:t>
      </w:r>
    </w:p>
    <w:p>
      <w:pPr>
        <w:pStyle w:val="ListParagraph"/>
        <w:numPr>
          <w:ilvl w:val="0"/>
          <w:numId w:val="2"/>
        </w:numPr>
        <w:spacing w:after="100"/>
      </w:pPr>
      <w:r>
        <w:rPr>
          <w:rFonts w:ascii="Arial" w:cs="Arial" w:eastAsia="Arial" w:hAnsi="Arial"/>
          <w:sz w:val="22"/>
          <w:szCs w:val="22"/>
        </w:rPr>
        <w:t xml:space="preserve">Publish JWKS at [realm-domain]/.well-known/apis-jwks.json</w:t>
      </w:r>
    </w:p>
    <w:p>
      <w:pPr>
        <w:pStyle w:val="ListParagraph"/>
        <w:numPr>
          <w:ilvl w:val="0"/>
          <w:numId w:val="2"/>
        </w:numPr>
        <w:spacing w:after="100"/>
      </w:pPr>
      <w:r>
        <w:rPr>
          <w:rFonts w:ascii="Arial" w:cs="Arial" w:eastAsia="Arial" w:hAnsi="Arial"/>
          <w:sz w:val="22"/>
          <w:szCs w:val="22"/>
        </w:rPr>
        <w:t xml:space="preserve">Maintain public revocation endpoint at [realm-domain]/.well-known/apis-revocation</w:t>
      </w:r>
    </w:p>
    <w:p>
      <w:pPr>
        <w:pStyle w:val="ListParagraph"/>
        <w:numPr>
          <w:ilvl w:val="0"/>
          <w:numId w:val="2"/>
        </w:numPr>
        <w:spacing w:after="100"/>
      </w:pPr>
      <w:r>
        <w:rPr>
          <w:rFonts w:ascii="Arial" w:cs="Arial" w:eastAsia="Arial" w:hAnsi="Arial"/>
          <w:sz w:val="22"/>
          <w:szCs w:val="22"/>
        </w:rPr>
        <w:t xml:space="preserve">Report any suspected compromise to the Alliance Steering Committee within 4 hours</w:t>
      </w:r>
    </w:p>
    <w:p>
      <w:pPr>
        <w:pStyle w:val="ListParagraph"/>
        <w:numPr>
          <w:ilvl w:val="0"/>
          <w:numId w:val="2"/>
        </w:numPr>
        <w:spacing w:after="100"/>
      </w:pPr>
      <w:r>
        <w:rPr>
          <w:rFonts w:ascii="Arial" w:cs="Arial" w:eastAsia="Arial" w:hAnsi="Arial"/>
          <w:sz w:val="22"/>
          <w:szCs w:val="22"/>
        </w:rPr>
        <w:t xml:space="preserve">Comply with all APIS specification amendments within 90 days of ratification</w:t>
      </w:r>
    </w:p>
    <w:p>
      <w:pPr>
        <w:pStyle w:val="ListParagraph"/>
        <w:numPr>
          <w:ilvl w:val="0"/>
          <w:numId w:val="2"/>
        </w:numPr>
        <w:spacing w:after="100"/>
      </w:pPr>
      <w:r>
        <w:rPr>
          <w:rFonts w:ascii="Arial" w:cs="Arial" w:eastAsia="Arial" w:hAnsi="Arial"/>
          <w:sz w:val="22"/>
          <w:szCs w:val="22"/>
        </w:rPr>
        <w:t xml:space="preserve">Accept and process Alliance-directed emergency revocation orders immediately</w:t>
      </w:r>
    </w:p>
    <w:p>
      <w:pPr>
        <w:spacing w:after="120"/>
      </w:pPr>
      <w:r>
        <w:t xml:space="preserve"/>
      </w:r>
    </w:p>
    <w:p>
      <w:r>
        <w:br w:type="page"/>
      </w:r>
    </w:p>
    <w:p>
      <w:pPr>
        <w:pStyle w:val="Heading1"/>
      </w:pPr>
      <w:r>
        <w:rPr>
          <w:rFonts w:ascii="Arial" w:cs="Arial" w:eastAsia="Arial" w:hAnsi="Arial"/>
          <w:b/>
          <w:bCs/>
          <w:sz w:val="32"/>
          <w:szCs w:val="32"/>
        </w:rPr>
        <w:t xml:space="preserve">Article IV — Open Standard Commitment</w:t>
      </w:r>
    </w:p>
    <w:p>
      <w:pPr>
        <w:pStyle w:val="Heading2"/>
      </w:pPr>
      <w:r>
        <w:rPr>
          <w:rFonts w:ascii="Arial" w:cs="Arial" w:eastAsia="Arial" w:hAnsi="Arial"/>
          <w:b/>
          <w:bCs/>
          <w:sz w:val="26"/>
          <w:szCs w:val="26"/>
        </w:rPr>
        <w:t xml:space="preserve">4.1 Free and Open Implementation</w:t>
      </w:r>
    </w:p>
    <w:p>
      <w:pPr>
        <w:spacing w:after="160"/>
      </w:pPr>
      <w:r>
        <w:rPr>
          <w:rFonts w:ascii="Arial" w:cs="Arial" w:eastAsia="Arial" w:hAnsi="Arial"/>
          <w:sz w:val="22"/>
          <w:szCs w:val="22"/>
        </w:rPr>
        <w:t xml:space="preserve">The APIS specification is a free, open standard. Any individual, organization, or framework may implement APIS without license, royalty, or permission from the Alliance. Attribution is appreciated but not required for implementation.</w:t>
      </w:r>
    </w:p>
    <w:p>
      <w:pPr>
        <w:spacing w:after="120"/>
      </w:pPr>
      <w:r>
        <w:t xml:space="preserve"/>
      </w:r>
    </w:p>
    <w:p>
      <w:pPr>
        <w:pStyle w:val="Heading2"/>
      </w:pPr>
      <w:r>
        <w:rPr>
          <w:rFonts w:ascii="Arial" w:cs="Arial" w:eastAsia="Arial" w:hAnsi="Arial"/>
          <w:b/>
          <w:bCs/>
          <w:sz w:val="26"/>
          <w:szCs w:val="26"/>
        </w:rPr>
        <w:t xml:space="preserve">4.2 Patent Non-Assertion</w:t>
      </w:r>
    </w:p>
    <w:p>
      <w:pPr>
        <w:spacing w:after="160"/>
      </w:pPr>
      <w:r>
        <w:rPr>
          <w:rFonts w:ascii="Arial" w:cs="Arial" w:eastAsia="Arial" w:hAnsi="Arial"/>
          <w:sz w:val="22"/>
          <w:szCs w:val="22"/>
        </w:rPr>
        <w:t xml:space="preserve">AetherPro Technologies LLC and all Alliance Steering Committee members commit to a patent non-assertion pledge covering all claims reading on the APIS specification. No member of the Alliance will assert patents against any party implementing the APIS standard in good faith.</w:t>
      </w:r>
    </w:p>
    <w:p>
      <w:pPr>
        <w:spacing w:after="120"/>
      </w:pPr>
      <w:r>
        <w:t xml:space="preserve"/>
      </w:r>
    </w:p>
    <w:p>
      <w:pPr>
        <w:pStyle w:val="Heading2"/>
      </w:pPr>
      <w:r>
        <w:rPr>
          <w:rFonts w:ascii="Arial" w:cs="Arial" w:eastAsia="Arial" w:hAnsi="Arial"/>
          <w:b/>
          <w:bCs/>
          <w:sz w:val="26"/>
          <w:szCs w:val="26"/>
        </w:rPr>
        <w:t xml:space="preserve">4.3 Trademark</w:t>
      </w:r>
    </w:p>
    <w:p>
      <w:pPr>
        <w:spacing w:after="160"/>
      </w:pPr>
      <w:r>
        <w:rPr>
          <w:rFonts w:ascii="Arial" w:cs="Arial" w:eastAsia="Arial" w:hAnsi="Arial"/>
          <w:sz w:val="22"/>
          <w:szCs w:val="22"/>
        </w:rPr>
        <w:t xml:space="preserve">The terms "Passport Alliance," "Agent Passport," and "APIS" as used in this governance context are trademarks of AetherPro Technologies LLC. Use of these marks in implementations that comply with the APIS specification is permitted without prior authorization. Misleading use of these marks to imply Alliance endorsement of non-compliant implementations is prohibited.</w:t>
      </w:r>
    </w:p>
    <w:p>
      <w:pPr>
        <w:spacing w:after="120"/>
      </w:pPr>
      <w:r>
        <w:t xml:space="preserve"/>
      </w:r>
    </w:p>
    <w:p>
      <w:r>
        <w:br w:type="page"/>
      </w:r>
    </w:p>
    <w:p>
      <w:pPr>
        <w:pStyle w:val="Heading1"/>
      </w:pPr>
      <w:r>
        <w:rPr>
          <w:rFonts w:ascii="Arial" w:cs="Arial" w:eastAsia="Arial" w:hAnsi="Arial"/>
          <w:b/>
          <w:bCs/>
          <w:sz w:val="32"/>
          <w:szCs w:val="32"/>
        </w:rPr>
        <w:t xml:space="preserve">Article V — Spec Amendment Process</w:t>
      </w:r>
    </w:p>
    <w:p>
      <w:pPr>
        <w:pStyle w:val="Heading2"/>
      </w:pPr>
      <w:r>
        <w:rPr>
          <w:rFonts w:ascii="Arial" w:cs="Arial" w:eastAsia="Arial" w:hAnsi="Arial"/>
          <w:b/>
          <w:bCs/>
          <w:sz w:val="26"/>
          <w:szCs w:val="26"/>
        </w:rPr>
        <w:t xml:space="preserve">5.1 Proposal</w:t>
      </w:r>
    </w:p>
    <w:p>
      <w:pPr>
        <w:spacing w:after="160"/>
      </w:pPr>
      <w:r>
        <w:rPr>
          <w:rFonts w:ascii="Arial" w:cs="Arial" w:eastAsia="Arial" w:hAnsi="Arial"/>
          <w:sz w:val="22"/>
          <w:szCs w:val="22"/>
        </w:rPr>
        <w:t xml:space="preserve">Any Contributing Member or Realm Issuer may propose a specification amendment by submitting a written proposal to the Alliance Steering Committee. Proposals must include a problem statement, proposed solution, impact assessment for existing implementations, and a 90-day migration path.</w:t>
      </w:r>
    </w:p>
    <w:p>
      <w:pPr>
        <w:spacing w:after="120"/>
      </w:pPr>
      <w:r>
        <w:t xml:space="preserve"/>
      </w:r>
    </w:p>
    <w:p>
      <w:pPr>
        <w:pStyle w:val="Heading2"/>
      </w:pPr>
      <w:r>
        <w:rPr>
          <w:rFonts w:ascii="Arial" w:cs="Arial" w:eastAsia="Arial" w:hAnsi="Arial"/>
          <w:b/>
          <w:bCs/>
          <w:sz w:val="26"/>
          <w:szCs w:val="26"/>
        </w:rPr>
        <w:t xml:space="preserve">5.2 Review and Ratification</w:t>
      </w:r>
    </w:p>
    <w:p>
      <w:pPr>
        <w:spacing w:after="160"/>
      </w:pPr>
      <w:r>
        <w:rPr>
          <w:rFonts w:ascii="Arial" w:cs="Arial" w:eastAsia="Arial" w:hAnsi="Arial"/>
          <w:sz w:val="22"/>
          <w:szCs w:val="22"/>
        </w:rPr>
        <w:t xml:space="preserve">Proposals are published publicly for a 30-day comment period. The Steering Committee votes on ratification. A two-thirds supermajority is required for amendments that affect the core credential structure (Sections 3-8 of the APIS specification). Simple majority is sufficient for clarifications and additions.</w:t>
      </w:r>
    </w:p>
    <w:p>
      <w:pPr>
        <w:spacing w:after="120"/>
      </w:pPr>
      <w:r>
        <w:t xml:space="preserve"/>
      </w:r>
    </w:p>
    <w:p>
      <w:pPr>
        <w:pStyle w:val="Heading2"/>
      </w:pPr>
      <w:r>
        <w:rPr>
          <w:rFonts w:ascii="Arial" w:cs="Arial" w:eastAsia="Arial" w:hAnsi="Arial"/>
          <w:b/>
          <w:bCs/>
          <w:sz w:val="26"/>
          <w:szCs w:val="26"/>
        </w:rPr>
        <w:t xml:space="preserve">5.3 Backward Compatibility</w:t>
      </w:r>
    </w:p>
    <w:p>
      <w:pPr>
        <w:spacing w:after="160"/>
      </w:pPr>
      <w:r>
        <w:rPr>
          <w:rFonts w:ascii="Arial" w:cs="Arial" w:eastAsia="Arial" w:hAnsi="Arial"/>
          <w:sz w:val="22"/>
          <w:szCs w:val="22"/>
        </w:rPr>
        <w:t xml:space="preserve">All ratified amendments must maintain backward compatibility with Passports issued under prior specification versions for a minimum of 18 months following ratification.</w:t>
      </w:r>
    </w:p>
    <w:p>
      <w:pPr>
        <w:spacing w:after="120"/>
      </w:pPr>
      <w:r>
        <w:t xml:space="preserve"/>
      </w:r>
    </w:p>
    <w:p>
      <w:r>
        <w:br w:type="page"/>
      </w:r>
    </w:p>
    <w:p>
      <w:pPr>
        <w:pStyle w:val="Heading1"/>
      </w:pPr>
      <w:r>
        <w:rPr>
          <w:rFonts w:ascii="Arial" w:cs="Arial" w:eastAsia="Arial" w:hAnsi="Arial"/>
          <w:b/>
          <w:bCs/>
          <w:sz w:val="32"/>
          <w:szCs w:val="32"/>
        </w:rPr>
        <w:t xml:space="preserve">Article VI — Public Infrastructure</w:t>
      </w:r>
    </w:p>
    <w:p>
      <w:pPr>
        <w:spacing w:after="160"/>
      </w:pPr>
      <w:r>
        <w:rPr>
          <w:rFonts w:ascii="Arial" w:cs="Arial" w:eastAsia="Arial" w:hAnsi="Arial"/>
          <w:sz w:val="22"/>
          <w:szCs w:val="22"/>
        </w:rPr>
        <w:t xml:space="preserve">The Alliance operates the following public infrastructure, funded by Realm Issuer fees and voluntary contributions:</w:t>
      </w:r>
    </w:p>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800"/>
        <w:gridCol w:w="4160"/>
      </w:tblGrid>
      <w:tr>
        <w:tc>
          <w:tcPr>
            <w:tcW w:type="dxa" w:w="2400"/>
            <w:tcBorders>
              <w:top w:val="single" w:color="CCCCCC" w:sz="1"/>
              <w:left w:val="single" w:color="CCCCCC" w:sz="1"/>
              <w:bottom w:val="single" w:color="CCCCCC" w:sz="1"/>
              <w:right w:val="single" w:color="CCCCCC" w:sz="1"/>
            </w:tcBorders>
            <w:shd w:fill="4B1E6B" w:val="clear"/>
            <w:tcMar>
              <w:top w:type="dxa" w:w="80"/>
              <w:left w:type="dxa" w:w="120"/>
              <w:bottom w:type="dxa" w:w="80"/>
              <w:right w:type="dxa" w:w="120"/>
            </w:tcMar>
          </w:tcPr>
          <w:p>
            <w:r>
              <w:rPr>
                <w:rFonts w:ascii="Arial" w:cs="Arial" w:eastAsia="Arial" w:hAnsi="Arial"/>
                <w:b/>
                <w:bCs/>
                <w:color w:val="FFFFFF"/>
                <w:sz w:val="20"/>
                <w:szCs w:val="20"/>
              </w:rPr>
              <w:t xml:space="preserve">Service</w:t>
            </w:r>
          </w:p>
        </w:tc>
        <w:tc>
          <w:tcPr>
            <w:tcW w:type="dxa" w:w="2800"/>
            <w:tcBorders>
              <w:top w:val="single" w:color="CCCCCC" w:sz="1"/>
              <w:left w:val="single" w:color="CCCCCC" w:sz="1"/>
              <w:bottom w:val="single" w:color="CCCCCC" w:sz="1"/>
              <w:right w:val="single" w:color="CCCCCC" w:sz="1"/>
            </w:tcBorders>
            <w:shd w:fill="4B1E6B" w:val="clear"/>
            <w:tcMar>
              <w:top w:type="dxa" w:w="80"/>
              <w:left w:type="dxa" w:w="120"/>
              <w:bottom w:type="dxa" w:w="80"/>
              <w:right w:type="dxa" w:w="120"/>
            </w:tcMar>
          </w:tcPr>
          <w:p>
            <w:r>
              <w:rPr>
                <w:rFonts w:ascii="Arial" w:cs="Arial" w:eastAsia="Arial" w:hAnsi="Arial"/>
                <w:b/>
                <w:bCs/>
                <w:color w:val="FFFFFF"/>
                <w:sz w:val="20"/>
                <w:szCs w:val="20"/>
              </w:rPr>
              <w:t xml:space="preserve">URL</w:t>
            </w:r>
          </w:p>
        </w:tc>
        <w:tc>
          <w:tcPr>
            <w:tcW w:type="dxa" w:w="4160"/>
            <w:tcBorders>
              <w:top w:val="single" w:color="CCCCCC" w:sz="1"/>
              <w:left w:val="single" w:color="CCCCCC" w:sz="1"/>
              <w:bottom w:val="single" w:color="CCCCCC" w:sz="1"/>
              <w:right w:val="single" w:color="CCCCCC" w:sz="1"/>
            </w:tcBorders>
            <w:shd w:fill="4B1E6B" w:val="clear"/>
            <w:tcMar>
              <w:top w:type="dxa" w:w="80"/>
              <w:left w:type="dxa" w:w="120"/>
              <w:bottom w:type="dxa" w:w="80"/>
              <w:right w:type="dxa" w:w="120"/>
            </w:tcMar>
          </w:tcPr>
          <w:p>
            <w:r>
              <w:rPr>
                <w:rFonts w:ascii="Arial" w:cs="Arial" w:eastAsia="Arial" w:hAnsi="Arial"/>
                <w:b/>
                <w:bCs/>
                <w:color w:val="FFFFFF"/>
                <w:sz w:val="20"/>
                <w:szCs w:val="20"/>
              </w:rPr>
              <w:t xml:space="preserve">Purpose</w:t>
            </w:r>
          </w:p>
        </w:tc>
      </w:tr>
      <w:tr>
        <w:tc>
          <w:tcPr>
            <w:tcW w:type="dxa" w:w="2400"/>
            <w:tcBorders>
              <w:top w:val="single" w:color="CCCCCC" w:sz="1"/>
              <w:left w:val="single" w:color="CCCCCC" w:sz="1"/>
              <w:bottom w:val="single" w:color="CCCCCC" w:sz="1"/>
              <w:right w:val="single" w:color="CCCCCC" w:sz="1"/>
            </w:tcBorders>
            <w:shd w:fill="F5F0FA" w:val="clear"/>
            <w:tcMar>
              <w:top w:type="dxa" w:w="80"/>
              <w:left w:type="dxa" w:w="120"/>
              <w:bottom w:type="dxa" w:w="80"/>
              <w:right w:type="dxa" w:w="120"/>
            </w:tcMar>
          </w:tcPr>
          <w:p>
            <w:r>
              <w:rPr>
                <w:rFonts w:ascii="Arial" w:cs="Arial" w:eastAsia="Arial" w:hAnsi="Arial"/>
                <w:b w:val="false"/>
                <w:bCs w:val="false"/>
                <w:color w:val="000000"/>
                <w:sz w:val="20"/>
                <w:szCs w:val="20"/>
              </w:rPr>
              <w:t xml:space="preserve">Root Key Publication</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aetherpro.us/.well-known/alliance-root.jwk</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Public JWKS for root key — verifiable by anyone without an Alliance account</w:t>
            </w:r>
          </w:p>
        </w:tc>
      </w:tr>
      <w:tr>
        <w:tc>
          <w:tcPr>
            <w:tcW w:type="dxa" w:w="2400"/>
            <w:tcBorders>
              <w:top w:val="single" w:color="CCCCCC" w:sz="1"/>
              <w:left w:val="single" w:color="CCCCCC" w:sz="1"/>
              <w:bottom w:val="single" w:color="CCCCCC" w:sz="1"/>
              <w:right w:val="single" w:color="CCCCCC" w:sz="1"/>
            </w:tcBorders>
            <w:shd w:fill="F5F0FA" w:val="clear"/>
            <w:tcMar>
              <w:top w:type="dxa" w:w="80"/>
              <w:left w:type="dxa" w:w="120"/>
              <w:bottom w:type="dxa" w:w="80"/>
              <w:right w:type="dxa" w:w="120"/>
            </w:tcMar>
          </w:tcPr>
          <w:p>
            <w:r>
              <w:rPr>
                <w:rFonts w:ascii="Arial" w:cs="Arial" w:eastAsia="Arial" w:hAnsi="Arial"/>
                <w:b w:val="false"/>
                <w:bCs w:val="false"/>
                <w:color w:val="000000"/>
                <w:sz w:val="20"/>
                <w:szCs w:val="20"/>
              </w:rPr>
              <w:t xml:space="preserve">Alliance Registry</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passportalliance.org/registry</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Public directory of active Realm Issuers and their JWKS endpoints</w:t>
            </w:r>
          </w:p>
        </w:tc>
      </w:tr>
      <w:tr>
        <w:tc>
          <w:tcPr>
            <w:tcW w:type="dxa" w:w="2400"/>
            <w:tcBorders>
              <w:top w:val="single" w:color="CCCCCC" w:sz="1"/>
              <w:left w:val="single" w:color="CCCCCC" w:sz="1"/>
              <w:bottom w:val="single" w:color="CCCCCC" w:sz="1"/>
              <w:right w:val="single" w:color="CCCCCC" w:sz="1"/>
            </w:tcBorders>
            <w:shd w:fill="F5F0FA" w:val="clear"/>
            <w:tcMar>
              <w:top w:type="dxa" w:w="80"/>
              <w:left w:type="dxa" w:w="120"/>
              <w:bottom w:type="dxa" w:w="80"/>
              <w:right w:type="dxa" w:w="120"/>
            </w:tcMar>
          </w:tcPr>
          <w:p>
            <w:r>
              <w:rPr>
                <w:rFonts w:ascii="Arial" w:cs="Arial" w:eastAsia="Arial" w:hAnsi="Arial"/>
                <w:b w:val="false"/>
                <w:bCs w:val="false"/>
                <w:color w:val="000000"/>
                <w:sz w:val="20"/>
                <w:szCs w:val="20"/>
              </w:rPr>
              <w:t xml:space="preserve">Shared Namespace</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agents.passportalliance.org</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Free subdomain delegation for domain-less principals</w:t>
            </w:r>
          </w:p>
        </w:tc>
      </w:tr>
      <w:tr>
        <w:tc>
          <w:tcPr>
            <w:tcW w:type="dxa" w:w="2400"/>
            <w:tcBorders>
              <w:top w:val="single" w:color="CCCCCC" w:sz="1"/>
              <w:left w:val="single" w:color="CCCCCC" w:sz="1"/>
              <w:bottom w:val="single" w:color="CCCCCC" w:sz="1"/>
              <w:right w:val="single" w:color="CCCCCC" w:sz="1"/>
            </w:tcBorders>
            <w:shd w:fill="F5F0FA" w:val="clear"/>
            <w:tcMar>
              <w:top w:type="dxa" w:w="80"/>
              <w:left w:type="dxa" w:w="120"/>
              <w:bottom w:type="dxa" w:w="80"/>
              <w:right w:type="dxa" w:w="120"/>
            </w:tcMar>
          </w:tcPr>
          <w:p>
            <w:r>
              <w:rPr>
                <w:rFonts w:ascii="Arial" w:cs="Arial" w:eastAsia="Arial" w:hAnsi="Arial"/>
                <w:b w:val="false"/>
                <w:bCs w:val="false"/>
                <w:color w:val="000000"/>
                <w:sz w:val="20"/>
                <w:szCs w:val="20"/>
              </w:rPr>
              <w:t xml:space="preserve">Direct Registration</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passportalliance.org/register</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APIS Direct Registration for entities without any domain</w:t>
            </w:r>
          </w:p>
        </w:tc>
      </w:tr>
      <w:tr>
        <w:tc>
          <w:tcPr>
            <w:tcW w:type="dxa" w:w="2400"/>
            <w:tcBorders>
              <w:top w:val="single" w:color="CCCCCC" w:sz="1"/>
              <w:left w:val="single" w:color="CCCCCC" w:sz="1"/>
              <w:bottom w:val="single" w:color="CCCCCC" w:sz="1"/>
              <w:right w:val="single" w:color="CCCCCC" w:sz="1"/>
            </w:tcBorders>
            <w:shd w:fill="F5F0FA" w:val="clear"/>
            <w:tcMar>
              <w:top w:type="dxa" w:w="80"/>
              <w:left w:type="dxa" w:w="120"/>
              <w:bottom w:type="dxa" w:w="80"/>
              <w:right w:type="dxa" w:w="120"/>
            </w:tcMar>
          </w:tcPr>
          <w:p>
            <w:r>
              <w:rPr>
                <w:rFonts w:ascii="Arial" w:cs="Arial" w:eastAsia="Arial" w:hAnsi="Arial"/>
                <w:b w:val="false"/>
                <w:bCs w:val="false"/>
                <w:color w:val="000000"/>
                <w:sz w:val="20"/>
                <w:szCs w:val="20"/>
              </w:rPr>
              <w:t xml:space="preserve">Spec Publication</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passportalliance.org/spec</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Canonical published APIS specification — all versions</w:t>
            </w:r>
          </w:p>
        </w:tc>
      </w:tr>
      <w:tr>
        <w:tc>
          <w:tcPr>
            <w:tcW w:type="dxa" w:w="2400"/>
            <w:tcBorders>
              <w:top w:val="single" w:color="CCCCCC" w:sz="1"/>
              <w:left w:val="single" w:color="CCCCCC" w:sz="1"/>
              <w:bottom w:val="single" w:color="CCCCCC" w:sz="1"/>
              <w:right w:val="single" w:color="CCCCCC" w:sz="1"/>
            </w:tcBorders>
            <w:shd w:fill="F5F0FA" w:val="clear"/>
            <w:tcMar>
              <w:top w:type="dxa" w:w="80"/>
              <w:left w:type="dxa" w:w="120"/>
              <w:bottom w:type="dxa" w:w="80"/>
              <w:right w:type="dxa" w:w="120"/>
            </w:tcMar>
          </w:tcPr>
          <w:p>
            <w:r>
              <w:rPr>
                <w:rFonts w:ascii="Arial" w:cs="Arial" w:eastAsia="Arial" w:hAnsi="Arial"/>
                <w:b w:val="false"/>
                <w:bCs w:val="false"/>
                <w:color w:val="000000"/>
                <w:sz w:val="20"/>
                <w:szCs w:val="20"/>
              </w:rPr>
              <w:t xml:space="preserve">Status Page</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status.passportalliance.org</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Real-time operational status of Alliance infrastructure</w:t>
            </w:r>
          </w:p>
        </w:tc>
      </w:tr>
    </w:tbl>
    <w:p>
      <w:pPr>
        <w:spacing w:after="120"/>
      </w:pPr>
      <w:r>
        <w:t xml:space="preserve"/>
      </w:r>
    </w:p>
    <w:p>
      <w:r>
        <w:br w:type="page"/>
      </w:r>
    </w:p>
    <w:p>
      <w:pPr>
        <w:pStyle w:val="Heading1"/>
      </w:pPr>
      <w:r>
        <w:rPr>
          <w:rFonts w:ascii="Arial" w:cs="Arial" w:eastAsia="Arial" w:hAnsi="Arial"/>
          <w:b/>
          <w:bCs/>
          <w:sz w:val="32"/>
          <w:szCs w:val="32"/>
        </w:rPr>
        <w:t xml:space="preserve">Founding Attestation</w:t>
      </w:r>
    </w:p>
    <w:p>
      <w:pPr>
        <w:spacing w:after="160"/>
      </w:pPr>
      <w:r>
        <w:rPr>
          <w:rFonts w:ascii="Arial" w:cs="Arial" w:eastAsia="Arial" w:hAnsi="Arial"/>
          <w:sz w:val="22"/>
          <w:szCs w:val="22"/>
        </w:rPr>
        <w:t xml:space="preserve">This Charter is established by the founding organization of the Passport Alliance:</w:t>
      </w:r>
    </w:p>
    <w:p>
      <w:pPr>
        <w:spacing w:after="120"/>
      </w:pPr>
      <w:r>
        <w:t xml:space="preserve"/>
      </w:r>
    </w:p>
    <w:p>
      <w:pPr>
        <w:spacing w:after="120"/>
      </w:pPr>
      <w:r>
        <w:t xml:space="preserve"/>
      </w:r>
    </w:p>
    <w:p>
      <w:r>
        <w:rPr>
          <w:rFonts w:ascii="Arial" w:cs="Arial" w:eastAsia="Arial" w:hAnsi="Arial"/>
          <w:b/>
          <w:bCs/>
          <w:sz w:val="22"/>
          <w:szCs w:val="22"/>
        </w:rPr>
        <w:t xml:space="preserve">Founding Organization: AetherPro Technologies LLC</w:t>
      </w:r>
    </w:p>
    <w:p>
      <w:r>
        <w:rPr>
          <w:rFonts w:ascii="Arial" w:cs="Arial" w:eastAsia="Arial" w:hAnsi="Arial"/>
          <w:sz w:val="22"/>
          <w:szCs w:val="22"/>
        </w:rPr>
        <w:t xml:space="preserve">Founder and CEO: Cory M. Gibson</w:t>
      </w:r>
    </w:p>
    <w:p>
      <w:r>
        <w:rPr>
          <w:rFonts w:ascii="Arial" w:cs="Arial" w:eastAsia="Arial" w:hAnsi="Arial"/>
          <w:sz w:val="22"/>
          <w:szCs w:val="22"/>
        </w:rPr>
        <w:t xml:space="preserve">CAGE Code: 174V7  |  SAM.gov Registered</w:t>
      </w:r>
    </w:p>
    <w:p>
      <w:r>
        <w:rPr>
          <w:rFonts w:ascii="Arial" w:cs="Arial" w:eastAsia="Arial" w:hAnsi="Arial"/>
          <w:sz w:val="22"/>
          <w:szCs w:val="22"/>
        </w:rPr>
        <w:t xml:space="preserve">Charter Date: May 2026</w:t>
      </w:r>
    </w:p>
    <w:p>
      <w:pPr>
        <w:spacing w:after="120"/>
      </w:pPr>
      <w:r>
        <w:t xml:space="preserve"/>
      </w:r>
    </w:p>
    <w:p>
      <w:pPr>
        <w:spacing w:after="120"/>
      </w:pPr>
      <w:r>
        <w:t xml:space="preserve"/>
      </w:r>
    </w:p>
    <w:p>
      <w:r>
        <w:rPr>
          <w:rFonts w:ascii="Arial" w:cs="Arial" w:eastAsia="Arial" w:hAnsi="Arial"/>
          <w:sz w:val="22"/>
          <w:szCs w:val="22"/>
        </w:rPr>
        <w:t xml:space="preserve">Root Key Ceremony Conducted: 2026-02-21</w:t>
      </w:r>
    </w:p>
    <w:p>
      <w:r>
        <w:rPr>
          <w:rFonts w:ascii="Arial" w:cs="Arial" w:eastAsia="Arial" w:hAnsi="Arial"/>
          <w:color w:val="4B1E6B"/>
          <w:sz w:val="22"/>
          <w:szCs w:val="22"/>
        </w:rPr>
        <w:t xml:space="preserve">Zenodo DOI: https://doi.org/10.5281/zenodo.18820877</w:t>
      </w:r>
    </w:p>
    <w:sectPr>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888888"/>
        <w:sz w:val="18"/>
        <w:szCs w:val="18"/>
      </w:rPr>
      <w:t xml:space="preserve">Passport Alliance Charter v1.0  |  AetherPro Technologies LLC  |  Page </w:t>
    </w:r>
    <w:r>
      <w:rPr>
        <w:rFonts w:ascii="Arial" w:cs="Arial" w:eastAsia="Arial" w:hAnsi="Arial"/>
        <w:color w:val="888888"/>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20"/>
      <w:outlineLvl w:val="0"/>
    </w:pPr>
    <w:rPr>
      <w:rFonts w:ascii="Arial" w:cs="Arial" w:eastAsia="Arial" w:hAnsi="Arial"/>
      <w:b/>
      <w:bCs/>
      <w:color w:val="4B1E6B"/>
      <w:sz w:val="32"/>
      <w:szCs w:val="32"/>
    </w:rPr>
  </w:style>
  <w:style w:type="paragraph" w:styleId="Heading2">
    <w:name w:val="Heading 2"/>
    <w:basedOn w:val="Normal"/>
    <w:next w:val="Normal"/>
    <w:qFormat/>
    <w:pPr>
      <w:spacing w:after="120" w:before="240"/>
      <w:outlineLvl w:val="1"/>
    </w:pPr>
    <w:rPr>
      <w:rFonts w:ascii="Arial" w:cs="Arial" w:eastAsia="Arial" w:hAnsi="Arial"/>
      <w:b/>
      <w:bCs/>
      <w:color w:val="4B1E6B"/>
      <w:sz w:val="26"/>
      <w:szCs w:val="26"/>
    </w:rPr>
  </w:style>
  <w:style w:type="paragraph" w:styleId="Heading3">
    <w:name w:val="Heading 3"/>
    <w:basedOn w:val="Normal"/>
    <w:next w:val="Normal"/>
    <w:qFormat/>
    <w:pPr>
      <w:spacing w:after="80" w:before="180"/>
      <w:outlineLvl w:val="2"/>
    </w:pPr>
    <w:rPr>
      <w:rFonts w:ascii="Arial" w:cs="Arial" w:eastAsia="Arial" w:hAnsi="Arial"/>
      <w:b/>
      <w:bCs/>
      <w:color w:val="6A3A8A"/>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2026-05-04T02:10:25.745Z</dcterms:created>
  <dcterms:modified xsi:type="dcterms:W3CDTF">2026-05-04T02:10:25.745Z</dcterms:modified>
</cp:coreProperties>
</file>

<file path=docProps/custom.xml><?xml version="1.0" encoding="utf-8"?>
<Properties xmlns="http://schemas.openxmlformats.org/officeDocument/2006/custom-properties" xmlns:vt="http://schemas.openxmlformats.org/officeDocument/2006/docPropsVTypes"/>
</file>