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A4A7A"/>
          <w:sz w:val="48"/>
          <w:szCs w:val="48"/>
        </w:rPr>
        <w:t xml:space="preserve">Decision Gate – SGFA 3.0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2E6DA4"/>
          <w:sz w:val="30"/>
          <w:szCs w:val="30"/>
        </w:rPr>
        <w:t xml:space="preserve">v1.1 — Inverse Time Rule -lisäys</w:t>
      </w:r>
    </w:p>
    <w:p>
      <w:pPr>
        <w:spacing w:before="0" w:after="4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SGFA 3.0 / Lex Resiliens -yhteensopiva | Perustuu v1.0 + B-analyysiin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4A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</w:t>
            </w:r>
          </w:p>
        </w:tc>
        <w:tc>
          <w:tcPr>
            <w:tcW w:type="dxa" w:w="24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4A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Muutos</w:t>
            </w:r>
          </w:p>
        </w:tc>
        <w:tc>
          <w:tcPr>
            <w:tcW w:type="dxa" w:w="576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4A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Peruste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v1.0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SGFA 3.0 -kanonisointi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Decision Gate -kerroksen perusrakenne, G1–G4, UNCERTAIN-tila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v1.1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Inverse Time Rule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B-analyysi (energia vs. moderointi): HOLD sidotaan G1–G4-konvergenssiin, ei kelloon. Perustuu IEC 60255 -logiikkaan.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4A7A"/>
          <w:sz w:val="32"/>
          <w:szCs w:val="32"/>
        </w:rPr>
        <w:t xml:space="preserve">1. Muutoksen ydin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v1.0 määritteli HOLD:n eksplisiittiseksi tilaksi mutta jätti HOLD:n keston auki. B-analyysi (energiasektori vs. moderointi) osoitti, että tämä on rakenteellinen puute — ei yksityiskohta.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Ongelma: </w:t>
      </w:r>
      <w:r>
        <w:rPr>
          <w:rFonts w:ascii="Arial" w:cs="Arial" w:eastAsia="Arial" w:hAnsi="Arial"/>
          <w:sz w:val="22"/>
          <w:szCs w:val="22"/>
        </w:rPr>
        <w:t xml:space="preserve">Jos HOLD-aika on vakio tai määrittelemätön, järjestelmä ei erota kiireellistä riskiä epäselvästä tilanteesta. Se palauttaa saman ongelman, jonka UNCERTAIN-tila yritti ratkaista.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Ratkaisu: </w:t>
      </w:r>
      <w:r>
        <w:rPr>
          <w:rFonts w:ascii="Arial" w:cs="Arial" w:eastAsia="Arial" w:hAnsi="Arial"/>
          <w:sz w:val="22"/>
          <w:szCs w:val="22"/>
        </w:rPr>
        <w:t xml:space="preserve">HOLD on tilakonvergenssin funktio, ei kello. Mitä enemmän G1–G4 konvergoivat UNSAFE-tilaan, sitä lyhyempi HOLD. Tämä on suora sovellus IEC 60255:n inverse time -periaatteesta semanttiseen maailmaan.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4A7A"/>
          <w:sz w:val="32"/>
          <w:szCs w:val="32"/>
        </w:rPr>
        <w:t xml:space="preserve">2. Inverse Time Rule — muodollinen lisäys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Lisäys korvaa v1.0:n avoimen HOLD-määrittelyn:</w:t>
      </w:r>
    </w:p>
    <w:p>
      <w:pPr>
        <w:spacing w:before="60" w:after="60"/>
      </w:pPr>
      <w:r>
        <w:t xml:space="preserve"/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HOLD_duration = f(G1–G4 convergence toward UNSAFE)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Convergence LOW  (epäselvä diskurssi, yksittäinen signaali)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→ HOLD: pitkä  → REQUEST CONTEXT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Convergence MED  (suora viesti + ristiriitainen sävy)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→ HOLD: lyhyt  → MODEL CROSS-CHECK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Convergence HIGH (suora + toistuva + sävymuutos)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→ HOLD = 0    → HUMAN ACK REQUIRED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Convergence MAX  (ei kontekstia + korkea eskalaatiopiste)</w:t>
      </w:r>
    </w:p>
    <w:p>
      <w:pPr>
        <w:shd w:fill="F0F4F8" w:val="clear"/>
        <w:spacing w:before="60" w:after="6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→ HOLD = 0    → ACK + välitön eskalaatio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4A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G1–G4-konvergenssi</w:t>
            </w:r>
          </w:p>
        </w:tc>
        <w:tc>
          <w:tcPr>
            <w:tcW w:type="dxa" w:w="288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4A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HOLD-logiikka</w:t>
            </w:r>
          </w:p>
        </w:tc>
        <w:tc>
          <w:tcPr>
            <w:tcW w:type="dxa" w:w="2880"/>
            <w:tcBorders>
              <w:top w:val="single" w:color="1A4A7A" w:sz="1"/>
              <w:left w:val="single" w:color="1A4A7A" w:sz="1"/>
              <w:bottom w:val="single" w:color="1A4A7A" w:sz="1"/>
              <w:right w:val="single" w:color="1A4A7A" w:sz="1"/>
            </w:tcBorders>
            <w:shd w:fill="1A4A7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Toimenpide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Epäselvä diskurssi + yksittäinen signaali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6B1A"/>
                <w:sz w:val="20"/>
                <w:szCs w:val="20"/>
              </w:rPr>
              <w:t xml:space="preserve">Pitkä HOLD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REQUEST CONTEXT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Suora viesti + ristiriitainen sävy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7A5C00"/>
                <w:sz w:val="20"/>
                <w:szCs w:val="20"/>
              </w:rPr>
              <w:t xml:space="preserve">Lyhyt HOLD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MODEL CROSS-CHECK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Suora viesti + toistuvuus + sävymuutos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C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8B3A00"/>
                <w:sz w:val="20"/>
                <w:szCs w:val="20"/>
              </w:rPr>
              <w:t xml:space="preserve">HOLD = 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HUMAN ACK REQUIRED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Ei kontekstia + korkea eskalaatiopiste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CEC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7A0000"/>
                <w:sz w:val="20"/>
                <w:szCs w:val="20"/>
              </w:rPr>
              <w:t xml:space="preserve">HOLD = 0 (välitön)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ACK + välitön eskalaatio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4A7A"/>
          <w:sz w:val="32"/>
          <w:szCs w:val="32"/>
        </w:rPr>
        <w:t xml:space="preserve">3. Miksi tämä on auditointikelpoinen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Jokainen HOLD-päätös on jälkikäteen perusteltavissa G1–G4-luokituksella. Ei subjektiivisella arviolla, ei yksittäisen operaattorin harkinnalla.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G1–G4-luokitus on dokumentoitu ennen päätöstä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HOLD-kesto on luokituksen deterministinen seuraus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Poikkeamat (esim. manuaalinen ohitus) edellyttävät HUMAN ACK + peruste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Pitkittynyt UNCERTAIN ilman luokitusta = C-luokan kapasiteettivika (näkyväksi, ei piilotetuksi)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Tämä on sama auditointirakenne, jota IEC 60255 edellyttää suojareleiltä: jokainen laukaisu on rekonstruoitavissa mittausdatasta.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400" w:after="140"/>
      </w:pPr>
      <w:r>
        <w:rPr>
          <w:rFonts w:ascii="Arial" w:cs="Arial" w:eastAsia="Arial" w:hAnsi="Arial"/>
          <w:b/>
          <w:bCs/>
          <w:color w:val="1A4A7A"/>
          <w:sz w:val="32"/>
          <w:szCs w:val="32"/>
        </w:rPr>
        <w:t xml:space="preserve">4. Muutos v1.0:aan nähden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v1.0: UNCERTAIN → HOLD (kesto auki)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v1.1: UNCERTAIN → HOLD (kesto = f(G1–G4 konvergenssi))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Kaikki muu v1.0:sta säilyy muuttumattomana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Status: Canonical / Frozen siirtyy v1.1:een kun konsortio vahvistaa</w:t>
      </w:r>
    </w:p>
    <w:p>
      <w:pPr>
        <w:spacing w:before="60" w:after="60"/>
      </w:pPr>
      <w:r>
        <w:t xml:space="preserve"/>
      </w:r>
    </w:p>
    <w:p>
      <w:pPr>
        <w:spacing w:before="0" w:after="0"/>
      </w:pPr>
      <w:r>
        <w:br w:type="pag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4A7A"/>
          <w:sz w:val="44"/>
          <w:szCs w:val="44"/>
        </w:rPr>
        <w:t xml:space="preserve">Decision Gate — Why This Works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Konsortiokäyttöön | Yksi sivu | Perustuu SGFA 3.0 v1.1 -dokumenttiin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Ongelma — yhdellä lauseella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Kaikki kriittiset turvajärjestelmät — sähköverkot, finanssivalvonta, tekoälymoderointi — tekevät saman virheen: ne eivät siedä epävarmuutta, joten ne eskaloivat sen.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Miksi tämä ei ole uusi ongelma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Energiasektori ratkaisi sen vuosikymmeniä sitten. Suojarelestandardi IEC 60255 määrittelee, että mittaussignaali ei suoraan johda katkaisuun. Välissä on kontekstiportti ja aikapuskuri — inverse time delay. Mitä vakavampi poikkeama, sitä nopeammin eskalaatio. Mitä epäselvempi tilanne, sitä enemmän aikaa absorboida epävarmuus.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Decision Gate on tämän logiikan yleistys semanttiseen maailmaan.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Miksi moderointi on vaarallisempi kuin sähköverkko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Energiassa väärä katkaisu on välittömästi mitattavissa: sähkö poikki, tapahtuma kirjattu, korjaus tehtävissä. Moderoinnissa väärä hälytys ei näy yhdessä tapahtumassa. Se kuluttaa luottamusta kumulatiivisesti — C-luokan kapasiteettivika Lex Resiliensin termein. Vaikeampi havaita, vaikeampi korjata, kalliimpi pitkässä juoksussa.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Tämä tarkoittaa, että moderointi tarvitsee vähintään yhtä tiukan Decision Gate -arkkitehtuurin kuin sähköverkko — ei kevyempää.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Miten Decision Gate toimii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Ennen hälytystä signaali luokitellaan neljällä kysymyksellä (G1–G4): mikä on diskurssitila, mikä on intentio, onko sävy konsistentti, onko signaali transientti vai pitkittyvä. Luokitus tuottaa konvergenssiarvon. Konvergenssi määrittää HOLD-keston. HOLD ei ole kello — se on tilakonvergenssin funktio.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Jos HOLD päättyy ilman selvyyttä: HUMAN ACK REQUIRED. Nimetty hyväksyjä, ajankohta, peruste. Vastuu ei ole automaatiolla.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8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Miksi tämä on puolustettavissa kriittisessä tarkastelussa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Ei uusi keksintö — IEC 60255 -logiikan sovellus tunnettuun ongelmaan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Auditointikelpoinen — jokainen HOLD-päätös on jälkikäteen rekonstruoitavissa G1–G4-luokituksesta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Ei piilota C-luokan vikaa — tekee sen näkyväksi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Skaalautuu sektorista toiseen — sama arkkitehtuuri, eri kalibrointi</w:t>
      </w:r>
    </w:p>
    <w:p>
      <w:pPr>
        <w:spacing w:before="60" w:after="60"/>
      </w:pPr>
      <w:r>
        <w:t xml:space="preserve"/>
      </w:r>
    </w:p>
    <w:p>
      <w:pPr>
        <w:pBdr>
          <w:top w:val="single" w:color="CCCCCC" w:sz="1"/>
        </w:pBdr>
        <w:spacing w:before="360" w:after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Decision Gate SGFA 3.0 v1.1 | Lex Resiliens -yhteensopiva | IEC 60255 -viittaus käsitteellisenä, ei normatiivisena | Status: Draft — odottaa konsortion vahvistusta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40"/>
      <w:outlineLvl w:val="0"/>
    </w:pPr>
    <w:rPr>
      <w:rFonts w:ascii="Arial" w:cs="Arial" w:eastAsia="Arial" w:hAnsi="Arial"/>
      <w:b/>
      <w:bCs/>
      <w:color w:val="1A4A7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8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2026-02-12T14:33:33.949Z</dcterms:created>
  <dcterms:modified xsi:type="dcterms:W3CDTF">2026-02-12T14:33:33.950Z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