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11:35:06 AM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5843534e-830e-47c4-97c1-12ebbcde09f5.pdf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