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200 000 04 04 04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Superior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(Family)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Roger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Roger Durand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MADAME CHOSE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Défenderesse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PresentationNotice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ROGER THELAWYER,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ROGER THELAWYER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/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phoneNumber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400-400-4444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r>
              <w:rPr>
                <w:rFonts w:cs="Arial"/>
                <w:bCs/>
                <w:szCs w:val="24"/>
                <w:u w:val="single"/>
              </w:rPr>
              <w:t>RogerMadysson@live.fr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/>
            </w:r>
            <w:r>
              <w:rPr>
                <w:rFonts w:cs="Arial"/>
                <w:bCs/>
                <w:szCs w:val="24"/>
              </w:rPr>
              <w:t xml:space="preserve"> / 200 000 04 04 04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Notre dossier : 20 015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360" w:footer="0" w:bottom="36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1440" w:right="1440" w:gutter="0" w:header="0" w:top="360" w:footer="0" w:bottom="36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8a0af0"/>
    <w:rPr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2" /><Relationship Type="http://schemas.openxmlformats.org/officeDocument/2006/relationships/fontTable" Target="/word/fontTable.xml" Id="rId3" /><Relationship Type="http://schemas.openxmlformats.org/officeDocument/2006/relationships/settings" Target="/word/settings.xml" Id="rId4" /><Relationship Type="http://schemas.openxmlformats.org/officeDocument/2006/relationships/theme" Target="/word/theme/theme1.xml" Id="rId5" /><Relationship Type="http://schemas.openxmlformats.org/officeDocument/2006/relationships/customXml" Target="/customXml/item1.xml" Id="rId6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LibreOffice/7.6.2.1$Windows_X86_64 LibreOffice_project/56f7684011345957bbf33a7ee678afaf4d2ba333</Application>
  <AppVersion>15.0000</AppVersion>
  <Pages>1</Pages>
  <Words>34</Words>
  <Characters>287</Characters>
  <CharactersWithSpaces>303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2023-11-12T01:22:05Z</dcterms:modified>
  <cp:revision>47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