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宋体"/>
          <w:b/>
          <w:sz w:val="32"/>
        </w:rPr>
        <w:t>引用与借鉴记录</w:t>
      </w:r>
    </w:p>
    <w:p>
      <w:pPr>
        <w:spacing w:line="360" w:lineRule="auto"/>
        <w:ind w:firstLine="0"/>
      </w:pPr>
      <w:r>
        <w:rPr>
          <w:rFonts w:ascii="Times New Roman" w:hAnsi="Times New Roman" w:eastAsia="仿宋"/>
          <w:b w:val="0"/>
          <w:sz w:val="22"/>
        </w:rPr>
        <w:t>生成日期：2026-08-17｜ 用途：记录法律文书所引用的法条、案例、数据来源与核验状态，供查看与追溯。</w:t>
      </w:r>
    </w:p>
    <w:p>
      <w:pPr>
        <w:spacing w:before="200" w:after="120"/>
      </w:pPr>
      <w:r>
        <w:rPr>
          <w:rFonts w:ascii="Times New Roman" w:hAnsi="Times New Roman" w:eastAsia="黑体"/>
          <w:b/>
          <w:sz w:val="26"/>
        </w:rPr>
        <w:t>一、法条引用记录</w:t>
      </w:r>
    </w:p>
    <w:p>
      <w:pPr>
        <w:spacing w:line="360" w:lineRule="auto"/>
        <w:ind w:firstLine="0"/>
      </w:pPr>
      <w:r>
        <w:rPr>
          <w:rFonts w:ascii="Times New Roman" w:hAnsi="Times New Roman" w:eastAsia="仿宋"/>
          <w:b/>
          <w:sz w:val="24"/>
        </w:rPr>
        <w:t>【中华人民共和国民法典】（2021-01-01施行）</w:t>
      </w:r>
    </w:p>
    <w:p>
      <w:pPr>
        <w:spacing w:line="360" w:lineRule="auto"/>
        <w:ind w:firstLine="283"/>
      </w:pPr>
      <w:r>
        <w:rPr>
          <w:rFonts w:ascii="Times New Roman" w:hAnsi="Times New Roman" w:eastAsia="仿宋"/>
          <w:b w:val="0"/>
          <w:sz w:val="24"/>
        </w:rPr>
        <w:t>□ 第五百零九条　核验状态：待复核　｜　当事人应当按照约定全面履行自己的义务。当事人应当遵循诚信原则，根据合同的性质、目的和交易习惯履行通知、协助、保密等义务。</w:t>
      </w:r>
    </w:p>
    <w:p>
      <w:pPr>
        <w:spacing w:line="360" w:lineRule="auto"/>
        <w:ind w:firstLine="283"/>
      </w:pPr>
      <w:r>
        <w:rPr>
          <w:rFonts w:ascii="Times New Roman" w:hAnsi="Times New Roman" w:eastAsia="仿宋"/>
          <w:b w:val="0"/>
          <w:sz w:val="24"/>
        </w:rPr>
        <w:t>□ 第五百七十九条　核验状态：待复核　｜　当事人一方未支付价款、报酬、租金、利息，或者不履行其他金钱债务的，对方可以请求其支付。（民间借贷核心请求权基础）</w:t>
      </w:r>
    </w:p>
    <w:p>
      <w:pPr>
        <w:spacing w:line="360" w:lineRule="auto"/>
        <w:ind w:firstLine="283"/>
      </w:pPr>
      <w:r>
        <w:rPr>
          <w:rFonts w:ascii="Times New Roman" w:hAnsi="Times New Roman" w:eastAsia="仿宋"/>
          <w:b w:val="0"/>
          <w:sz w:val="24"/>
        </w:rPr>
        <w:t>□ 第六百六十七条　核验状态：待复核　｜　借款合同是借款人向贷款人借款，到期返还借款并支付利息的合同。</w:t>
      </w:r>
    </w:p>
    <w:p>
      <w:pPr>
        <w:spacing w:line="360" w:lineRule="auto"/>
        <w:ind w:firstLine="283"/>
      </w:pPr>
      <w:r>
        <w:rPr>
          <w:rFonts w:ascii="Times New Roman" w:hAnsi="Times New Roman" w:eastAsia="仿宋"/>
          <w:b w:val="0"/>
          <w:sz w:val="24"/>
        </w:rPr>
        <w:t>□ 第六百七十六条　核验状态：待复核　｜　借款人未按照约定的期限返还借款的，应当按照约定或者国家有关规定支付逾期利息。</w:t>
      </w:r>
    </w:p>
    <w:p>
      <w:pPr>
        <w:spacing w:line="360" w:lineRule="auto"/>
        <w:ind w:firstLine="283"/>
      </w:pPr>
      <w:r>
        <w:rPr>
          <w:rFonts w:ascii="Times New Roman" w:hAnsi="Times New Roman" w:eastAsia="仿宋"/>
          <w:b w:val="0"/>
          <w:sz w:val="24"/>
        </w:rPr>
        <w:t>□ 第六百七十九条　核验状态：待复核　｜　自然人之间的借款合同，自贷款人提供借款时成立。（交付凭证为必核要素）</w:t>
      </w:r>
    </w:p>
    <w:p>
      <w:pPr>
        <w:spacing w:line="360" w:lineRule="auto"/>
        <w:ind w:firstLine="283"/>
      </w:pPr>
      <w:r>
        <w:rPr>
          <w:rFonts w:ascii="Times New Roman" w:hAnsi="Times New Roman" w:eastAsia="仿宋"/>
          <w:b w:val="0"/>
          <w:sz w:val="24"/>
        </w:rPr>
        <w:t>□ 第六百八十条　核验状态：待复核　｜　禁止高利放贷，借款的利率不得违反国家有关规定。</w:t>
      </w:r>
    </w:p>
    <w:p>
      <w:pPr>
        <w:spacing w:line="360" w:lineRule="auto"/>
        <w:ind w:firstLine="0"/>
      </w:pPr>
      <w:r>
        <w:rPr>
          <w:rFonts w:ascii="Times New Roman" w:hAnsi="Times New Roman" w:eastAsia="仿宋"/>
          <w:b/>
          <w:sz w:val="24"/>
        </w:rPr>
        <w:t>【最高人民法院关于审理民间借贷案件适用法律若干问题的规定】（2020年第二次修正，法释〔2020〕17号，2021-01-01施行）</w:t>
      </w:r>
    </w:p>
    <w:p>
      <w:pPr>
        <w:spacing w:line="360" w:lineRule="auto"/>
        <w:ind w:firstLine="283"/>
      </w:pPr>
      <w:r>
        <w:rPr>
          <w:rFonts w:ascii="Times New Roman" w:hAnsi="Times New Roman" w:eastAsia="仿宋"/>
          <w:b w:val="0"/>
          <w:sz w:val="24"/>
        </w:rPr>
        <w:t>□ 第一条　核验状态：待复核　｜　适用范围：自然人、法人和非法人组织之间的资金融通；经金融监管部门批准设立的从事贷款业务的金融机构及其分支机构发放贷款引发…</w:t>
      </w:r>
    </w:p>
    <w:p>
      <w:pPr>
        <w:spacing w:line="360" w:lineRule="auto"/>
        <w:ind w:firstLine="283"/>
      </w:pPr>
      <w:r>
        <w:rPr>
          <w:rFonts w:ascii="Times New Roman" w:hAnsi="Times New Roman" w:eastAsia="仿宋"/>
          <w:b w:val="0"/>
          <w:sz w:val="24"/>
        </w:rPr>
        <w:t>□ 第二条　核验状态：待复核　｜　出借人向人民法院提起民间借贷诉讼时，应当提供借据、收据、欠条等债权凭证以及其他能够证明借贷法律关系存在的证据。</w:t>
      </w:r>
    </w:p>
    <w:p>
      <w:pPr>
        <w:spacing w:line="360" w:lineRule="auto"/>
        <w:ind w:firstLine="283"/>
      </w:pPr>
      <w:r>
        <w:rPr>
          <w:rFonts w:ascii="Times New Roman" w:hAnsi="Times New Roman" w:eastAsia="仿宋"/>
          <w:b w:val="0"/>
          <w:sz w:val="24"/>
        </w:rPr>
        <w:t>□ 第十三条　核验状态：待复核　｜　具有下列情形之一的，民间借贷合同无效：套取金融机构贷款转贷；以向其他营利法人借贷、向本单位职工集资，或者以向公众非法吸收…</w:t>
      </w:r>
    </w:p>
    <w:p>
      <w:pPr>
        <w:spacing w:line="360" w:lineRule="auto"/>
        <w:ind w:firstLine="283"/>
      </w:pPr>
      <w:r>
        <w:rPr>
          <w:rFonts w:ascii="Times New Roman" w:hAnsi="Times New Roman" w:eastAsia="仿宋"/>
          <w:b w:val="0"/>
          <w:sz w:val="24"/>
        </w:rPr>
        <w:t>□ 第二十五条　核验状态：已核验　｜　出借人请求借款人按照合同约定利率支付利息的，人民法院应予支持，但是双方约定的利率超过合同成立时一年期贷款市场报价利率四倍…</w:t>
      </w:r>
    </w:p>
    <w:p>
      <w:pPr>
        <w:spacing w:line="360" w:lineRule="auto"/>
        <w:ind w:firstLine="283"/>
      </w:pPr>
      <w:r>
        <w:rPr>
          <w:rFonts w:ascii="Times New Roman" w:hAnsi="Times New Roman" w:eastAsia="仿宋"/>
          <w:b w:val="0"/>
          <w:sz w:val="24"/>
        </w:rPr>
        <w:t>□ 第二十九条　核验状态：待复核　｜　出借人与借款人既约定了逾期利率，又约定了违约金或者其他费用，出借人可以选择主张逾期利息、违约金或者其他费用，也可以一并主…</w:t>
      </w:r>
    </w:p>
    <w:p>
      <w:pPr>
        <w:spacing w:line="360" w:lineRule="auto"/>
        <w:ind w:firstLine="283"/>
      </w:pPr>
      <w:r>
        <w:rPr>
          <w:rFonts w:ascii="Times New Roman" w:hAnsi="Times New Roman" w:eastAsia="仿宋"/>
          <w:b w:val="0"/>
          <w:sz w:val="24"/>
        </w:rPr>
        <w:t>□ 第三十一条　核验状态：待复核　｜　时间效力：本规定施行后，2020年8月20日之前成立的民间借贷合同，适用当时的司法解释（24%/36%两线三区规则）计算…</w:t>
      </w:r>
    </w:p>
    <w:p>
      <w:pPr>
        <w:spacing w:line="360" w:lineRule="auto"/>
        <w:ind w:firstLine="0"/>
      </w:pPr>
      <w:r>
        <w:rPr>
          <w:rFonts w:ascii="Times New Roman" w:hAnsi="Times New Roman" w:eastAsia="仿宋"/>
          <w:b/>
          <w:sz w:val="24"/>
        </w:rPr>
        <w:t>【中华人民共和国民事诉讼法（2023年修正，2024-01-01施行）】（2023年修正）</w:t>
      </w:r>
    </w:p>
    <w:p>
      <w:pPr>
        <w:spacing w:line="360" w:lineRule="auto"/>
        <w:ind w:firstLine="283"/>
      </w:pPr>
      <w:r>
        <w:rPr>
          <w:rFonts w:ascii="Times New Roman" w:hAnsi="Times New Roman" w:eastAsia="仿宋"/>
          <w:b w:val="0"/>
          <w:sz w:val="24"/>
        </w:rPr>
        <w:t>□ 第一百二十二条　核验状态：待复核　｜　起诉条件：原告与本案有直接利害关系；有明确的被告；有具体的诉讼请求和事实、理由；属于人民法院受理民事诉讼的范围和受诉人民…</w:t>
      </w:r>
    </w:p>
    <w:p>
      <w:pPr>
        <w:spacing w:line="360" w:lineRule="auto"/>
        <w:ind w:firstLine="283"/>
      </w:pPr>
      <w:r>
        <w:rPr>
          <w:rFonts w:ascii="Times New Roman" w:hAnsi="Times New Roman" w:eastAsia="仿宋"/>
          <w:b w:val="0"/>
          <w:sz w:val="24"/>
        </w:rPr>
        <w:t>□ 第一百二十四条　核验状态：待复核　｜　起诉状应当记明：原告的姓名、性别、出生日期、民族、职业、工作单位、住所、联系方式；被告的姓名、性别、工作单位、住所等信息…</w:t>
      </w:r>
    </w:p>
    <w:p>
      <w:pPr>
        <w:spacing w:line="360" w:lineRule="auto"/>
        <w:ind w:firstLine="0"/>
      </w:pPr>
      <w:r>
        <w:rPr>
          <w:rFonts w:ascii="Times New Roman" w:hAnsi="Times New Roman" w:eastAsia="仿宋"/>
          <w:b w:val="0"/>
          <w:sz w:val="22"/>
        </w:rPr>
        <w:t>核验入口：国家法律法规数据库 https://flk.npc.gov.cn</w:t>
      </w:r>
    </w:p>
    <w:p>
      <w:pPr>
        <w:spacing w:before="200" w:after="120"/>
      </w:pPr>
      <w:r>
        <w:rPr>
          <w:rFonts w:ascii="Times New Roman" w:hAnsi="Times New Roman" w:eastAsia="黑体"/>
          <w:b/>
          <w:sz w:val="26"/>
        </w:rPr>
        <w:t>二、案例引用记录（真实可核验）</w:t>
      </w:r>
    </w:p>
    <w:p>
      <w:pPr>
        <w:spacing w:line="360" w:lineRule="auto"/>
        <w:ind w:firstLine="0"/>
      </w:pPr>
      <w:r>
        <w:rPr>
          <w:rFonts w:ascii="Times New Roman" w:hAnsi="Times New Roman" w:eastAsia="仿宋"/>
          <w:b/>
          <w:sz w:val="24"/>
        </w:rPr>
        <w:t>案号：(2014)民一终字第38号</w:t>
      </w:r>
    </w:p>
    <w:p>
      <w:pPr>
        <w:spacing w:line="360" w:lineRule="auto"/>
        <w:ind w:firstLine="283"/>
      </w:pPr>
      <w:r>
        <w:rPr>
          <w:rFonts w:ascii="Times New Roman" w:hAnsi="Times New Roman" w:eastAsia="仿宋"/>
          <w:b w:val="0"/>
          <w:sz w:val="24"/>
        </w:rPr>
        <w:t>案件：李占江、朱丽敏与贝洪峰、沈阳东昊地产有限公司民间借贷纠纷案（《最高人民法院公报》2015年第9期）</w:t>
      </w:r>
    </w:p>
    <w:p>
      <w:pPr>
        <w:spacing w:line="360" w:lineRule="auto"/>
        <w:ind w:firstLine="283"/>
      </w:pPr>
      <w:r>
        <w:rPr>
          <w:rFonts w:ascii="Times New Roman" w:hAnsi="Times New Roman" w:eastAsia="仿宋"/>
          <w:b w:val="0"/>
          <w:sz w:val="24"/>
        </w:rPr>
        <w:t>裁判要旨：本金以实际交付为准；利息超「银行同类贷款利率四倍」部分不予保护。适用1991年「四倍」规则，引用须注明时点。</w:t>
      </w:r>
    </w:p>
    <w:p>
      <w:pPr>
        <w:spacing w:line="360" w:lineRule="auto"/>
        <w:ind w:firstLine="283"/>
      </w:pPr>
      <w:r>
        <w:rPr>
          <w:rFonts w:ascii="Times New Roman" w:hAnsi="Times New Roman" w:eastAsia="仿宋"/>
          <w:b w:val="0"/>
          <w:sz w:val="24"/>
        </w:rPr>
        <w:t>来源：http://gongbao.court.gov.cn/Details/8e5a855a1d656c6b26158702e72098.html</w:t>
      </w:r>
    </w:p>
    <w:p>
      <w:pPr>
        <w:spacing w:line="360" w:lineRule="auto"/>
        <w:ind w:firstLine="283"/>
      </w:pPr>
      <w:r>
        <w:rPr>
          <w:rFonts w:ascii="Times New Roman" w:hAnsi="Times New Roman" w:eastAsia="仿宋"/>
          <w:b w:val="0"/>
          <w:sz w:val="24"/>
        </w:rPr>
        <w:t>核验状态：已核验</w:t>
      </w:r>
    </w:p>
    <w:p>
      <w:pPr>
        <w:spacing w:line="360" w:lineRule="auto"/>
        <w:ind w:firstLine="0"/>
      </w:pPr>
      <w:r>
        <w:rPr>
          <w:rFonts w:ascii="Times New Roman" w:hAnsi="Times New Roman" w:eastAsia="仿宋"/>
          <w:b/>
          <w:sz w:val="24"/>
        </w:rPr>
        <w:t>案号：(2019)最高法民终218号</w:t>
      </w:r>
    </w:p>
    <w:p>
      <w:pPr>
        <w:spacing w:line="360" w:lineRule="auto"/>
        <w:ind w:firstLine="283"/>
      </w:pPr>
      <w:r>
        <w:rPr>
          <w:rFonts w:ascii="Times New Roman" w:hAnsi="Times New Roman" w:eastAsia="仿宋"/>
          <w:b w:val="0"/>
          <w:sz w:val="24"/>
        </w:rPr>
        <w:t>案件：黄明与陈琪玲、陈泽峰、福建省丰泉环保集团有限公司民间借贷纠纷案（《最高人民法院公报》2022年第6期）</w:t>
      </w:r>
    </w:p>
    <w:p>
      <w:pPr>
        <w:spacing w:line="360" w:lineRule="auto"/>
        <w:ind w:firstLine="283"/>
      </w:pPr>
      <w:r>
        <w:rPr>
          <w:rFonts w:ascii="Times New Roman" w:hAnsi="Times New Roman" w:eastAsia="仿宋"/>
          <w:b w:val="0"/>
          <w:sz w:val="24"/>
        </w:rPr>
        <w:t>裁判要旨：约定利率超36%部分无效，已付利息按36%折抵本金，此后按24%计算。适用2015年24%/36%规则，引用须注明时点。</w:t>
      </w:r>
    </w:p>
    <w:p>
      <w:pPr>
        <w:spacing w:line="360" w:lineRule="auto"/>
        <w:ind w:firstLine="283"/>
      </w:pPr>
      <w:r>
        <w:rPr>
          <w:rFonts w:ascii="Times New Roman" w:hAnsi="Times New Roman" w:eastAsia="仿宋"/>
          <w:b w:val="0"/>
          <w:sz w:val="24"/>
        </w:rPr>
        <w:t>来源：http://gongbao.court.gov.cn/Details/06f1d4f912cdfd7d53d0d42c0dbc5c.html</w:t>
      </w:r>
    </w:p>
    <w:p>
      <w:pPr>
        <w:spacing w:line="360" w:lineRule="auto"/>
        <w:ind w:firstLine="283"/>
      </w:pPr>
      <w:r>
        <w:rPr>
          <w:rFonts w:ascii="Times New Roman" w:hAnsi="Times New Roman" w:eastAsia="仿宋"/>
          <w:b w:val="0"/>
          <w:sz w:val="24"/>
        </w:rPr>
        <w:t>核验状态：已核验</w:t>
      </w:r>
    </w:p>
    <w:p>
      <w:pPr>
        <w:spacing w:line="360" w:lineRule="auto"/>
        <w:ind w:firstLine="0"/>
      </w:pPr>
      <w:r>
        <w:rPr>
          <w:rFonts w:ascii="Times New Roman" w:hAnsi="Times New Roman" w:eastAsia="仿宋"/>
          <w:b/>
          <w:sz w:val="24"/>
        </w:rPr>
        <w:t>案号：(2015)民一终字第260号</w:t>
      </w:r>
    </w:p>
    <w:p>
      <w:pPr>
        <w:spacing w:line="360" w:lineRule="auto"/>
        <w:ind w:firstLine="283"/>
      </w:pPr>
      <w:r>
        <w:rPr>
          <w:rFonts w:ascii="Times New Roman" w:hAnsi="Times New Roman" w:eastAsia="仿宋"/>
          <w:b w:val="0"/>
          <w:sz w:val="24"/>
        </w:rPr>
        <w:t>案件：邵萍与云南通海昆通工贸有限公司、通海兴通达工贸有限公司民间借贷纠纷案（《最高人民法院公报》2017年第3期）</w:t>
      </w:r>
    </w:p>
    <w:p>
      <w:pPr>
        <w:spacing w:line="360" w:lineRule="auto"/>
        <w:ind w:firstLine="283"/>
      </w:pPr>
      <w:r>
        <w:rPr>
          <w:rFonts w:ascii="Times New Roman" w:hAnsi="Times New Roman" w:eastAsia="仿宋"/>
          <w:b w:val="0"/>
          <w:sz w:val="24"/>
        </w:rPr>
        <w:t>裁判要旨：公司人格混同连带责任，借款主体认定参考。依据《公司法》第二十条第三款。</w:t>
      </w:r>
    </w:p>
    <w:p>
      <w:pPr>
        <w:spacing w:line="360" w:lineRule="auto"/>
        <w:ind w:firstLine="283"/>
      </w:pPr>
      <w:r>
        <w:rPr>
          <w:rFonts w:ascii="Times New Roman" w:hAnsi="Times New Roman" w:eastAsia="仿宋"/>
          <w:b w:val="0"/>
          <w:sz w:val="24"/>
        </w:rPr>
        <w:t>来源：http://gongbao.court.gov.cn/Details/dd50d3d7d1522906721893219a1465.html</w:t>
      </w:r>
    </w:p>
    <w:p>
      <w:pPr>
        <w:spacing w:line="360" w:lineRule="auto"/>
        <w:ind w:firstLine="283"/>
      </w:pPr>
      <w:r>
        <w:rPr>
          <w:rFonts w:ascii="Times New Roman" w:hAnsi="Times New Roman" w:eastAsia="仿宋"/>
          <w:b w:val="0"/>
          <w:sz w:val="24"/>
        </w:rPr>
        <w:t>核验状态：已核验</w:t>
      </w:r>
    </w:p>
    <w:p>
      <w:pPr>
        <w:spacing w:before="200" w:after="120"/>
      </w:pPr>
      <w:r>
        <w:rPr>
          <w:rFonts w:ascii="Times New Roman" w:hAnsi="Times New Roman" w:eastAsia="黑体"/>
          <w:b/>
          <w:sz w:val="26"/>
        </w:rPr>
        <w:t>三、真实判例（无公开案号，仅可作参考，不作案号引用）</w:t>
      </w:r>
    </w:p>
    <w:p>
      <w:pPr>
        <w:spacing w:line="360" w:lineRule="auto"/>
        <w:ind w:firstLine="283"/>
      </w:pPr>
      <w:r>
        <w:rPr>
          <w:rFonts w:ascii="Times New Roman" w:hAnsi="Times New Roman" w:eastAsia="仿宋"/>
          <w:b w:val="0"/>
          <w:sz w:val="24"/>
        </w:rPr>
        <w:t>● 房山法院（北京法院网 2023-05-17）：出借信用卡+贷款转贷→合同无效，仅返还本金。 https://bjgy.bjcourt.gov.cn/article/detail/2023/05/id/7295776.shtml</w:t>
      </w:r>
    </w:p>
    <w:p>
      <w:pPr>
        <w:spacing w:line="360" w:lineRule="auto"/>
        <w:ind w:firstLine="283"/>
      </w:pPr>
      <w:r>
        <w:rPr>
          <w:rFonts w:ascii="Times New Roman" w:hAnsi="Times New Roman" w:eastAsia="仿宋"/>
          <w:b w:val="0"/>
          <w:sz w:val="24"/>
        </w:rPr>
        <w:t>● 延庆法院（2025-02-18）：银行借款转贷→合同无效，按LPR计息，不支持约定15%。 https://bjgy.bjcourt.gov.cn/article/detail/2025/02/id/8710897.shtml</w:t>
      </w:r>
    </w:p>
    <w:p>
      <w:pPr>
        <w:spacing w:line="360" w:lineRule="auto"/>
        <w:ind w:firstLine="283"/>
      </w:pPr>
      <w:r>
        <w:rPr>
          <w:rFonts w:ascii="Times New Roman" w:hAnsi="Times New Roman" w:eastAsia="仿宋"/>
          <w:b w:val="0"/>
          <w:sz w:val="24"/>
        </w:rPr>
        <w:t>● 沛县法院（江苏法院网 2026-04-13）：两年向7人出借超400万→职业放贷，合同无效，仅返本金。 http://www.jsfy.gov.cn/article/107311.html</w:t>
      </w:r>
    </w:p>
    <w:p>
      <w:pPr>
        <w:spacing w:line="360" w:lineRule="auto"/>
        <w:ind w:firstLine="283"/>
      </w:pPr>
      <w:r>
        <w:rPr>
          <w:rFonts w:ascii="Times New Roman" w:hAnsi="Times New Roman" w:eastAsia="仿宋"/>
          <w:b w:val="0"/>
          <w:sz w:val="24"/>
        </w:rPr>
        <w:t>● 邳州法院（2024-08-01）：两年起诉16件→合同无效，返本金按LPR付占用费。 http://www.jsfy.gov.cn/article/99848.html</w:t>
      </w:r>
    </w:p>
    <w:p>
      <w:pPr>
        <w:spacing w:line="360" w:lineRule="auto"/>
        <w:ind w:firstLine="283"/>
      </w:pPr>
      <w:r>
        <w:rPr>
          <w:rFonts w:ascii="Times New Roman" w:hAnsi="Times New Roman" w:eastAsia="仿宋"/>
          <w:b w:val="0"/>
          <w:sz w:val="24"/>
        </w:rPr>
        <w:t>● 北京高院典型案例1（2023-12-26）：仅凭转账凭证、不能证明借贷合意→不予支持。 https://bjgy.bjcourt.gov.cn/article/detail/2023/12/id/7727777.shtml</w:t>
      </w:r>
    </w:p>
    <w:p>
      <w:pPr>
        <w:spacing w:line="360" w:lineRule="auto"/>
        <w:ind w:firstLine="283"/>
      </w:pPr>
      <w:r>
        <w:rPr>
          <w:rFonts w:ascii="Times New Roman" w:hAnsi="Times New Roman" w:eastAsia="仿宋"/>
          <w:b w:val="0"/>
          <w:sz w:val="24"/>
        </w:rPr>
        <w:t>● 珲春市法院砍头息案（人民法院报 2026-05-12）：借条载20万实付18万→按实际交付认定本金。 https://www.rmfyb.com/content/202605/12/article_1024014_1391811899_6606786.html</w:t>
      </w:r>
    </w:p>
    <w:p>
      <w:pPr>
        <w:spacing w:line="360" w:lineRule="auto"/>
        <w:ind w:firstLine="0"/>
      </w:pPr>
      <w:r>
        <w:rPr>
          <w:rFonts w:ascii="Times New Roman" w:hAnsi="Times New Roman" w:eastAsia="仿宋"/>
          <w:b/>
          <w:sz w:val="24"/>
        </w:rPr>
        <w:t>⚠️ 上述判例均真实存在（官方渠道），但公开报道未载案号，不可当作案号引用；如需案号须在人民法院案例库登录检索。</w:t>
      </w:r>
    </w:p>
    <w:p>
      <w:pPr>
        <w:spacing w:before="200" w:after="120"/>
      </w:pPr>
      <w:r>
        <w:rPr>
          <w:rFonts w:ascii="Times New Roman" w:hAnsi="Times New Roman" w:eastAsia="黑体"/>
          <w:b/>
          <w:sz w:val="26"/>
        </w:rPr>
        <w:t>四、尚未取得可核验案号的点（诚实记录）</w:t>
      </w:r>
    </w:p>
    <w:p>
      <w:pPr>
        <w:spacing w:line="360" w:lineRule="auto"/>
        <w:ind w:firstLine="283"/>
      </w:pPr>
      <w:r>
        <w:rPr>
          <w:rFonts w:ascii="Times New Roman" w:hAnsi="Times New Roman" w:eastAsia="仿宋"/>
          <w:b w:val="0"/>
          <w:sz w:val="24"/>
        </w:rPr>
        <w:t>□ 现行 LPR 四倍规则（2020修正第25条）直接适用案例：无可核验案号（人民法院案例库已强制登录），引用时用「该类型已有生效判例（案号可在人民法院案例库检索）」。</w:t>
      </w:r>
    </w:p>
    <w:p>
      <w:pPr>
        <w:spacing w:line="360" w:lineRule="auto"/>
        <w:ind w:firstLine="283"/>
      </w:pPr>
      <w:r>
        <w:rPr>
          <w:rFonts w:ascii="Times New Roman" w:hAnsi="Times New Roman" w:eastAsia="仿宋"/>
          <w:b w:val="0"/>
          <w:sz w:val="24"/>
        </w:rPr>
        <w:t>□ 逾期利息+违约金合计≤LPR四倍（第29条）：无可核验案号（人民法院案例库已强制登录），引用时用「该类型已有生效判例（案号可在人民法院案例库检索）」。</w:t>
      </w:r>
    </w:p>
    <w:p>
      <w:pPr>
        <w:spacing w:before="200" w:after="120"/>
      </w:pPr>
      <w:r>
        <w:rPr>
          <w:rFonts w:ascii="Times New Roman" w:hAnsi="Times New Roman" w:eastAsia="黑体"/>
          <w:b/>
          <w:sz w:val="26"/>
        </w:rPr>
        <w:t>五、数据引用记录</w:t>
      </w:r>
    </w:p>
    <w:p>
      <w:pPr>
        <w:spacing w:line="360" w:lineRule="auto"/>
        <w:ind w:firstLine="283"/>
      </w:pPr>
      <w:r>
        <w:rPr>
          <w:rFonts w:ascii="Times New Roman" w:hAnsi="Times New Roman" w:eastAsia="仿宋"/>
          <w:b w:val="0"/>
          <w:sz w:val="24"/>
        </w:rPr>
        <w:t>LPR（截至 unknown）：1年期 3.0%，5年期以上 3.5%；民间借贷利率司法保护上限 = 12.0% (3.0% x 4)。</w:t>
      </w:r>
    </w:p>
    <w:p>
      <w:pPr>
        <w:spacing w:line="360" w:lineRule="auto"/>
        <w:ind w:firstLine="283"/>
      </w:pPr>
      <w:r>
        <w:rPr>
          <w:rFonts w:ascii="Times New Roman" w:hAnsi="Times New Roman" w:eastAsia="仿宋"/>
          <w:b w:val="0"/>
          <w:sz w:val="24"/>
        </w:rPr>
        <w:t>来源：中国人民银行授权全国银行间同业拆借中心公告 https://www.pbc.gov.cn/zhengcehuobisi/125207/125213/125440/3876551/2026072008093186869/index.html</w:t>
      </w:r>
    </w:p>
    <w:p>
      <w:pPr>
        <w:spacing w:line="360" w:lineRule="auto"/>
        <w:ind w:firstLine="283"/>
      </w:pPr>
      <w:r>
        <w:rPr>
          <w:rFonts w:ascii="Times New Roman" w:hAnsi="Times New Roman" w:eastAsia="仿宋"/>
          <w:b w:val="0"/>
          <w:sz w:val="24"/>
        </w:rPr>
        <w:t>更新方式：每月20日运行 scripts\fetch_lpr.py 自动抓取。</w:t>
      </w:r>
    </w:p>
    <w:p>
      <w:pPr>
        <w:spacing w:before="200" w:after="120"/>
      </w:pPr>
      <w:r>
        <w:rPr>
          <w:rFonts w:ascii="Times New Roman" w:hAnsi="Times New Roman" w:eastAsia="黑体"/>
          <w:b/>
          <w:sz w:val="26"/>
        </w:rPr>
        <w:t>六、文书模板依据</w:t>
      </w:r>
    </w:p>
    <w:p>
      <w:pPr>
        <w:spacing w:line="360" w:lineRule="auto"/>
        <w:ind w:firstLine="283"/>
      </w:pPr>
      <w:r>
        <w:rPr>
          <w:rFonts w:ascii="Times New Roman" w:hAnsi="Times New Roman" w:eastAsia="仿宋"/>
          <w:b w:val="0"/>
          <w:sz w:val="24"/>
        </w:rPr>
        <w:t>《最高人民法院、司法部、中华全国律师协会关于印发部分案件民事起诉状、答辩状示范文本（试行）的通知》（2024-03-04，11类44份，含民间借贷）。</w:t>
      </w:r>
    </w:p>
    <w:p>
      <w:pPr>
        <w:spacing w:before="200" w:after="120"/>
      </w:pPr>
      <w:r>
        <w:rPr>
          <w:rFonts w:ascii="Times New Roman" w:hAnsi="Times New Roman" w:eastAsia="黑体"/>
          <w:b/>
          <w:sz w:val="26"/>
        </w:rPr>
        <w:t>七、核验状态汇总</w:t>
      </w:r>
    </w:p>
    <w:p>
      <w:pPr>
        <w:spacing w:line="360" w:lineRule="auto"/>
        <w:ind w:firstLine="283"/>
      </w:pPr>
      <w:r>
        <w:rPr>
          <w:rFonts w:ascii="Times New Roman" w:hAnsi="Times New Roman" w:eastAsia="仿宋"/>
          <w:b w:val="0"/>
          <w:sz w:val="24"/>
        </w:rPr>
        <w:t>法条：已核验 1 条 / 待复核 13 条（待复核条目见 knowledge\laws\laws.json，用 scripts\fetch_law.py 管理）。</w:t>
      </w:r>
    </w:p>
    <w:p>
      <w:pPr>
        <w:spacing w:line="360" w:lineRule="auto"/>
        <w:ind w:firstLine="283"/>
      </w:pPr>
      <w:r>
        <w:rPr>
          <w:rFonts w:ascii="Times New Roman" w:hAnsi="Times New Roman" w:eastAsia="仿宋"/>
          <w:b w:val="0"/>
          <w:sz w:val="24"/>
        </w:rPr>
        <w:t>案例：可核验案号 3 个（全部已核验），无案号真实判例 6 条，待补案号 2 点。</w:t>
      </w:r>
    </w:p>
    <w:sectPr w:rsidR="00FC693F" w:rsidRPr="0006063C" w:rsidSect="00034616">
      <w:pgSz w:w="12240" w:h="15840"/>
      <w:pgMar w:top="1701" w:right="1474" w:bottom="170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