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EduChain resolves confidentiality-verifiability paradox for peer review.</w:t>
      </w:r>
    </w:p>
    <w:p>
      <w:pPr>
        <w:pStyle w:val="ListBullet"/>
      </w:pPr>
      <w:r>
        <w:t>Groth16 ZK proof binds author identity to prevent mempool front-running.</w:t>
      </w:r>
    </w:p>
    <w:p>
      <w:pPr>
        <w:pStyle w:val="ListBullet"/>
      </w:pPr>
      <w:r>
        <w:t>Verifiable random assignment bounds cartel quorum hijacking to 1.33e-8.</w:t>
      </w:r>
    </w:p>
    <w:p>
      <w:pPr>
        <w:pStyle w:val="ListBullet"/>
      </w:pPr>
      <w:r>
        <w:t>Wash-trading cartels face guaranteed 10% negative-sum capital depletion.</w:t>
      </w:r>
    </w:p>
    <w:p>
      <w:pPr>
        <w:pStyle w:val="ListBullet"/>
      </w:pPr>
      <w:r>
        <w:t>Client-side proving completes in 820 ms with sub-cent EVM Layer-2 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