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Agent Task Brief  ·  v1.0</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This document is written for a coding agent assigned to build Bigboote. It tells you what you are building, which documents to read and in what order, what the first milestone looks like, how to make decisions, and what not to do. Read this document in full before reading any other document.</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agent task brief.</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What You Are Building</w:t>
      </w:r>
    </w:p>
    <w:p>
      <w:pPr>
        <w:spacing w:after="80" w:before="80"/>
      </w:pPr>
      <w:r>
        <w:rPr>
          <w:rFonts w:ascii="Arial" w:cs="Arial" w:eastAsia="Arial" w:hAnsi="Arial"/>
          <w:color w:val="1A1A1A"/>
          <w:sz w:val="22"/>
          <w:szCs w:val="22"/>
        </w:rPr>
        <w:t xml:space="preserve">Bigboote is a multi-agent collaboration system. It allows humans to create 'Efforts' — scoped tasks like 'add OAuth2 to the auth service' — and assign AI agents and human collaborators to them. Agents run autonomously in containers, communicate via a messaging system, read and write working documents, and use tools. The Coordinator Service is the brain: it orchestrates everything. The Agent Service is the agent runtime: one instance per agent, spawned per Effort.</w:t>
      </w:r>
    </w:p>
    <w:p>
      <w:pPr>
        <w:spacing w:after="0" w:before="80"/>
      </w:pPr>
      <w:r>
        <w:t xml:space="preserve"/>
      </w:r>
    </w:p>
    <w:p>
      <w:pPr>
        <w:spacing w:after="80" w:before="80"/>
      </w:pPr>
      <w:r>
        <w:rPr>
          <w:rFonts w:ascii="Arial" w:cs="Arial" w:eastAsia="Arial" w:hAnsi="Arial"/>
          <w:color w:val="1A1A1A"/>
          <w:sz w:val="22"/>
          <w:szCs w:val="22"/>
        </w:rPr>
        <w:t xml:space="preserve">The system is event-sourced. All state is derived from events stored in KurrentDB. A Postgres read model (Projections) powers the API queries. Everything is written in Kotlin using Ktor and Koin. The Vue 3 frontend serves as the user interface.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Bigboote is the codename. The system does not yet have a go-to-market name. Use 'Bigboote' in all code, packages, and comments.</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Document Reading Order</w:t>
      </w:r>
    </w:p>
    <w:p>
      <w:pPr>
        <w:spacing w:after="80" w:before="80"/>
      </w:pPr>
      <w:r>
        <w:rPr>
          <w:rFonts w:ascii="Arial" w:cs="Arial" w:eastAsia="Arial" w:hAnsi="Arial"/>
          <w:color w:val="1A1A1A"/>
          <w:sz w:val="22"/>
          <w:szCs w:val="22"/>
        </w:rPr>
        <w:t xml:space="preserve">Read the design documents in this order before writing any code. Do not skip documents. Do not start coding until you have read through at least Section 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to extract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Glossary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Every term used in code and docs. If you see an unfamiliar term, look it up here first.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Event Schema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data contracts everything is built against. Know the event types, field names, and ID conventions before writing any code.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Bootstrap Spec</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exact Gradle structure, version catalog, and entry points. Follow this precisely — do not invent your own structure.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Architecture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Package trees, component responsibilities, Koin wiring, the AgentLoopStepper model. Your primary code map.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API Design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three API surfaces and their endpoint shapes. Understand what you are building towards.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Implementation Sequence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phased build plan. Know which phase you are in and what the verification gate is.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7</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Dev Runbook</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How to run the stack locally. Set up your environment before starting.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Testing Strategy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How to write tests for each layer. Tests are written alongside code, not after.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UX Design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Only needed when working on Vue UI phases (16–19). Skip until then.</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First Milestone</w:t>
      </w:r>
    </w:p>
    <w:p>
      <w:pPr>
        <w:spacing w:after="80" w:before="80"/>
      </w:pPr>
      <w:r>
        <w:rPr>
          <w:rFonts w:ascii="Arial" w:cs="Arial" w:eastAsia="Arial" w:hAnsi="Arial"/>
          <w:color w:val="1A1A1A"/>
          <w:sz w:val="22"/>
          <w:szCs w:val="22"/>
        </w:rPr>
        <w:t xml:space="preserve">Your first milestone is completing Phases 1 through 4 of the Implementation Sequence: shared-domain, shared-events, shared-infra, and the Coordinator skeleton. When this milestone is complete, the following must all be true: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1.  ./gradlew build -x test  →  BUILD SUCCESSFUL (all five modules compile)</w:t>
            </w:r>
          </w:p>
          <w:p>
            <w:pPr>
              <w:spacing w:after="16" w:before="16"/>
            </w:pPr>
            <w:r>
              <w:rPr>
                <w:rFonts w:ascii="Courier New" w:cs="Courier New" w:eastAsia="Courier New" w:hAnsi="Courier New"/>
                <w:color w:val="1A1A1A"/>
                <w:sz w:val="18"/>
                <w:szCs w:val="18"/>
              </w:rPr>
              <w:t xml:space="preserve">2.  ./gradlew :shared-domain:test  →  all tests pass, zero infrastructure dependencies</w:t>
            </w:r>
          </w:p>
          <w:p>
            <w:pPr>
              <w:spacing w:after="16" w:before="16"/>
            </w:pPr>
            <w:r>
              <w:rPr>
                <w:rFonts w:ascii="Courier New" w:cs="Courier New" w:eastAsia="Courier New" w:hAnsi="Courier New"/>
                <w:color w:val="1A1A1A"/>
                <w:sz w:val="18"/>
                <w:szCs w:val="18"/>
              </w:rPr>
              <w:t xml:space="preserve">3.  ./gradlew :shared-events:test  →  round-trip serialization test passes for all event types</w:t>
            </w:r>
          </w:p>
          <w:p>
            <w:pPr>
              <w:spacing w:after="16" w:before="16"/>
            </w:pPr>
            <w:r>
              <w:rPr>
                <w:rFonts w:ascii="Courier New" w:cs="Courier New" w:eastAsia="Courier New" w:hAnsi="Courier New"/>
                <w:color w:val="1A1A1A"/>
                <w:sz w:val="18"/>
                <w:szCs w:val="18"/>
              </w:rPr>
              <w:t xml:space="preserve">4.  ./gradlew :shared-infra:test   →  KurrentDB and Postgres integration tests pass</w:t>
            </w:r>
          </w:p>
          <w:p>
            <w:pPr>
              <w:spacing w:after="16" w:before="16"/>
            </w:pPr>
            <w:r>
              <w:rPr>
                <w:rFonts w:ascii="Courier New" w:cs="Courier New" w:eastAsia="Courier New" w:hAnsi="Courier New"/>
                <w:color w:val="1A1A1A"/>
                <w:sz w:val="18"/>
                <w:szCs w:val="18"/>
              </w:rPr>
              <w:t xml:space="preserve">5.  ./gradlew :coordinator:run     →  server starts on port 8080 without exception</w:t>
            </w:r>
          </w:p>
          <w:p>
            <w:pPr>
              <w:spacing w:after="16" w:before="16"/>
            </w:pPr>
            <w:r>
              <w:rPr>
                <w:rFonts w:ascii="Courier New" w:cs="Courier New" w:eastAsia="Courier New" w:hAnsi="Courier New"/>
                <w:color w:val="1A1A1A"/>
                <w:sz w:val="18"/>
                <w:szCs w:val="18"/>
              </w:rPr>
              <w:t xml:space="preserve">6.  curl http://localhost:8080/health  →  200 {"status":"ok"}</w:t>
            </w:r>
          </w:p>
          <w:p>
            <w:pPr>
              <w:spacing w:after="16" w:before="16"/>
            </w:pPr>
            <w:r>
              <w:rPr>
                <w:rFonts w:ascii="Courier New" w:cs="Courier New" w:eastAsia="Courier New" w:hAnsi="Courier New"/>
                <w:color w:val="1A1A1A"/>
                <w:sz w:val="18"/>
                <w:szCs w:val="18"/>
              </w:rPr>
              <w:t xml:space="preserve">7.  KurrentDB and Postgres connections confirmed in coordinator startup logs</w:t>
            </w:r>
          </w:p>
          <w:p>
            <w:pPr>
              <w:spacing w:after="16" w:before="16"/>
            </w:pPr>
            <w:r>
              <w:rPr>
                <w:rFonts w:ascii="Courier New" w:cs="Courier New" w:eastAsia="Courier New" w:hAnsi="Courier New"/>
                <w:color w:val="1A1A1A"/>
                <w:sz w:val="18"/>
                <w:szCs w:val="18"/>
              </w:rPr>
              <w:t xml:space="preserve">8.  All 8 Koin modules compile and wire without circular dependency errors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Do not proceed to Phase 5 until all 8 milestone checks pass. A failing check means something is wrong that will compound in later phases.</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How to Make Decisions</w:t>
      </w:r>
    </w:p>
    <w:p>
      <w:pPr>
        <w:spacing w:after="80" w:before="80"/>
      </w:pPr>
      <w:r>
        <w:rPr>
          <w:rFonts w:ascii="Arial" w:cs="Arial" w:eastAsia="Arial" w:hAnsi="Arial"/>
          <w:color w:val="1A1A1A"/>
          <w:sz w:val="22"/>
          <w:szCs w:val="22"/>
        </w:rPr>
        <w:t xml:space="preserve">You will encounter situations the design documents do not fully specify. Use this hierarchy: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6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Rule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Event Schema</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Event field names and types are authoritative. Never deviate from them.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Architecture doc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Package names, interface signatures, and Koin module contents are authoritative.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Bootstrap Spec</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Library versions are authoritative. Do not upgrade or substitute.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 doc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Endpoint paths, request/response shapes are authoritative.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Glossary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Term meanings are authoritative. Use the exact terms from the glossary in code.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Implementation Sequence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order and verification gates are authoritative.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Common sense + Kotlin idioms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For anything not specified: prefer immutability, prefer sealed classes, prefer coroutines over threads, prefer explicit error handling with Either over exceptions in domain code.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When you make a design decision not covered by the documents — name it explicitly in a code comment: // DECISION: [reason]. This makes it auditable.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Do and Do Not</w:t>
      </w:r>
    </w:p>
    <w:p>
      <w:pPr>
        <w:pStyle w:val="Heading2"/>
        <w:spacing w:after="100" w:before="300"/>
      </w:pPr>
      <w:r>
        <w:rPr>
          <w:rFonts w:ascii="Arial" w:cs="Arial" w:eastAsia="Arial" w:hAnsi="Arial"/>
          <w:b/>
          <w:bCs/>
          <w:color w:val="2E75B6"/>
          <w:sz w:val="27"/>
          <w:szCs w:val="27"/>
        </w:rPr>
        <w:t xml:space="preserve">5.1 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Follow the package structure in the Architecture doc exactly. Do not reorganise packages or rename files.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Write tests alongside code. Every Phase has a verification gate. The gate must pass before you declare the phase done.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Use the exact library versions from libs.versions.toml. If a library behaves unexpectedly, investigate before upgrading.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Use the event type names exactly as specified in the Event Schema. EffortCreated, not EffortWasCreated, not CreateEffortEvent.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Use the NanoID strategy for IDs as specified. EffortId.generate() must call nanoid() from jnanoid. Do not use UUID.randomUUID() for any ID except tokens.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Keep shared-domain free of all infrastructure imports. If you find yourself importing ktor, exposed, or kurrentdb in shared-domain, stop — something is wrong.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Use CollaboratorName from the existing loop code (sealed class: Individual + Channel). Do not create a separate ConvName type — they are the same concept.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Preserve the existing AgentLoopStepper visitor pattern exactly when integrating it in Phase 9. Do not rewrite it to use when/sealed class dispatch.</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5.2 Do Not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1"/>
              <w:bottom w:val="single" w:color="7A1A1A" w:sz="1"/>
              <w:right w:val="single" w:color="7A1A1A" w:sz="1"/>
            </w:tcBorders>
            <w:shd w:fill="FDECEA" w:val="clear"/>
            <w:tcMar>
              <w:top w:type="dxa" w:w="100"/>
              <w:left w:type="dxa" w:w="160"/>
              <w:bottom w:type="dxa" w:w="100"/>
              <w:right w:type="dxa" w:w="160"/>
            </w:tcMar>
          </w:tcPr>
          <w:p>
            <w:r>
              <w:rPr>
                <w:rFonts w:ascii="Arial" w:cs="Arial" w:eastAsia="Arial" w:hAnsi="Arial"/>
                <w:color w:val="7A1A1A"/>
                <w:sz w:val="20"/>
                <w:szCs w:val="20"/>
              </w:rPr>
              <w:t xml:space="preserve">Do not invent abstractions not present in the design documents. If the architecture doc does not describe a class, do not create it. If you think something is missing, note it as a DECISION comment and proceed with the simplest implementation.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1"/>
              <w:bottom w:val="single" w:color="7A1A1A" w:sz="1"/>
              <w:right w:val="single" w:color="7A1A1A" w:sz="1"/>
            </w:tcBorders>
            <w:shd w:fill="FDECEA" w:val="clear"/>
            <w:tcMar>
              <w:top w:type="dxa" w:w="100"/>
              <w:left w:type="dxa" w:w="160"/>
              <w:bottom w:type="dxa" w:w="100"/>
              <w:right w:type="dxa" w:w="160"/>
            </w:tcMar>
          </w:tcPr>
          <w:p>
            <w:r>
              <w:rPr>
                <w:rFonts w:ascii="Arial" w:cs="Arial" w:eastAsia="Arial" w:hAnsi="Arial"/>
                <w:color w:val="7A1A1A"/>
                <w:sz w:val="20"/>
                <w:szCs w:val="20"/>
              </w:rPr>
              <w:t xml:space="preserve">Do not use GlobalScope or runBlocking in production code. Use suspend functions, CoroutineScope with structured concurrency, or launch from a managed scope.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1"/>
              <w:bottom w:val="single" w:color="7A1A1A" w:sz="1"/>
              <w:right w:val="single" w:color="7A1A1A" w:sz="1"/>
            </w:tcBorders>
            <w:shd w:fill="FDECEA" w:val="clear"/>
            <w:tcMar>
              <w:top w:type="dxa" w:w="100"/>
              <w:left w:type="dxa" w:w="160"/>
              <w:bottom w:type="dxa" w:w="100"/>
              <w:right w:type="dxa" w:w="160"/>
            </w:tcMar>
          </w:tcPr>
          <w:p>
            <w:r>
              <w:rPr>
                <w:rFonts w:ascii="Arial" w:cs="Arial" w:eastAsia="Arial" w:hAnsi="Arial"/>
                <w:color w:val="7A1A1A"/>
                <w:sz w:val="20"/>
                <w:szCs w:val="20"/>
              </w:rPr>
              <w:t xml:space="preserve">Do not hardcode strings for event type names, stream names, or ID prefixes. Use EventRegistry, StreamNames, and the generate() companion functions.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1"/>
              <w:bottom w:val="single" w:color="7A1A1A" w:sz="1"/>
              <w:right w:val="single" w:color="7A1A1A" w:sz="1"/>
            </w:tcBorders>
            <w:shd w:fill="FDECEA" w:val="clear"/>
            <w:tcMar>
              <w:top w:type="dxa" w:w="100"/>
              <w:left w:type="dxa" w:w="160"/>
              <w:bottom w:type="dxa" w:w="100"/>
              <w:right w:type="dxa" w:w="160"/>
            </w:tcMar>
          </w:tcPr>
          <w:p>
            <w:r>
              <w:rPr>
                <w:rFonts w:ascii="Arial" w:cs="Arial" w:eastAsia="Arial" w:hAnsi="Arial"/>
                <w:color w:val="7A1A1A"/>
                <w:sz w:val="20"/>
                <w:szCs w:val="20"/>
              </w:rPr>
              <w:t xml:space="preserve">Do not write to KurrentDB from any service other than the Coordinator (for coordinator-owned streams) and the AgentService via the Agent Gateway API (for agent streams). No direct KurrentDB access from the agent-service.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1"/>
              <w:bottom w:val="single" w:color="7A1A1A" w:sz="1"/>
              <w:right w:val="single" w:color="7A1A1A" w:sz="1"/>
            </w:tcBorders>
            <w:shd w:fill="FDECEA" w:val="clear"/>
            <w:tcMar>
              <w:top w:type="dxa" w:w="100"/>
              <w:left w:type="dxa" w:w="160"/>
              <w:bottom w:type="dxa" w:w="100"/>
              <w:right w:type="dxa" w:w="160"/>
            </w:tcMar>
          </w:tcPr>
          <w:p>
            <w:r>
              <w:rPr>
                <w:rFonts w:ascii="Arial" w:cs="Arial" w:eastAsia="Arial" w:hAnsi="Arial"/>
                <w:color w:val="7A1A1A"/>
                <w:sz w:val="20"/>
                <w:szCs w:val="20"/>
              </w:rPr>
              <w:t xml:space="preserve">Do not add Any to the Kotlin codebase except at the EventStore interface boundary where event types must be erased. Everywhere else, use specific types.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1"/>
              <w:bottom w:val="single" w:color="7A1A1A" w:sz="1"/>
              <w:right w:val="single" w:color="7A1A1A" w:sz="1"/>
            </w:tcBorders>
            <w:shd w:fill="FDECEA" w:val="clear"/>
            <w:tcMar>
              <w:top w:type="dxa" w:w="100"/>
              <w:left w:type="dxa" w:w="160"/>
              <w:bottom w:type="dxa" w:w="100"/>
              <w:right w:type="dxa" w:w="160"/>
            </w:tcMar>
          </w:tcPr>
          <w:p>
            <w:r>
              <w:rPr>
                <w:rFonts w:ascii="Arial" w:cs="Arial" w:eastAsia="Arial" w:hAnsi="Arial"/>
                <w:color w:val="7A1A1A"/>
                <w:sz w:val="20"/>
                <w:szCs w:val="20"/>
              </w:rPr>
              <w:t xml:space="preserve">Do not implement the DiscordAdapter. It is in the pending items list for a reason. Skip it entirely.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1"/>
              <w:bottom w:val="single" w:color="7A1A1A" w:sz="1"/>
              <w:right w:val="single" w:color="7A1A1A" w:sz="1"/>
            </w:tcBorders>
            <w:shd w:fill="FDECEA" w:val="clear"/>
            <w:tcMar>
              <w:top w:type="dxa" w:w="100"/>
              <w:left w:type="dxa" w:w="160"/>
              <w:bottom w:type="dxa" w:w="100"/>
              <w:right w:type="dxa" w:w="160"/>
            </w:tcMar>
          </w:tcPr>
          <w:p>
            <w:r>
              <w:rPr>
                <w:rFonts w:ascii="Arial" w:cs="Arial" w:eastAsia="Arial" w:hAnsi="Arial"/>
                <w:color w:val="7A1A1A"/>
                <w:sz w:val="20"/>
                <w:szCs w:val="20"/>
              </w:rPr>
              <w:t xml:space="preserve">Do not implement FlyMachineSpawnStrategy until Phase 20. Build DockerSpawnStrategy first and get it working end to 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1"/>
              <w:left w:val="single" w:color="7A1A1A" w:sz="1"/>
              <w:bottom w:val="single" w:color="7A1A1A" w:sz="1"/>
              <w:right w:val="single" w:color="7A1A1A" w:sz="1"/>
            </w:tcBorders>
            <w:shd w:fill="FDECEA" w:val="clear"/>
            <w:tcMar>
              <w:top w:type="dxa" w:w="100"/>
              <w:left w:type="dxa" w:w="160"/>
              <w:bottom w:type="dxa" w:w="100"/>
              <w:right w:type="dxa" w:w="160"/>
            </w:tcMar>
          </w:tcPr>
          <w:p>
            <w:r>
              <w:rPr>
                <w:rFonts w:ascii="Arial" w:cs="Arial" w:eastAsia="Arial" w:hAnsi="Arial"/>
                <w:color w:val="7A1A1A"/>
                <w:sz w:val="20"/>
                <w:szCs w:val="20"/>
              </w:rPr>
              <w:t xml:space="preserve">Do not write mutable state in Kotlin objects (companion objects or singletons) except for the TokenStore and ProxyRegistry which are explicitly designed as mutable in-memory registries.</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Code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Convention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Coroutines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async operations are suspend functions. Use withContext(Dispatchers.IO) for blocking I/O only. Never use runBlocking in production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Error handling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Use Arrow's Either&lt;DomainError, T&gt; for domain operations. Use Kotlin exceptions only for infrastructure errors (DB down, network failure).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Immutability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classes everywhere in domain code. No var in domain classes. Copy constructors for state transitions.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Event types: PastTensePascalCase (EffortCreated). Commands: ImperativePascalCase (CreateEffort). Aggregates: NounPascalCase (EffortState). Reactors: NounReactor (SpawnReactor).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Serialization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@Serializable on all event data classes. Use @SerialName when field name differs from JSON key. No manual JSON parsing.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Null safety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 !!, no lateinit except for TestContainers @Container fields. Use ?: and let and the Elvis operator.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Logging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Use SLF4J: private val logger = LoggerFactory.getLogger(ClassName::class.java). Log at DEBUG for loop steps, INFO for lifecycle events, WARN for recoverable errors, ERROR for failures.</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When You Are Stuck</w:t>
      </w:r>
    </w:p>
    <w:p>
      <w:pPr>
        <w:spacing w:after="80" w:before="80"/>
      </w:pPr>
      <w:r>
        <w:rPr>
          <w:rFonts w:ascii="Arial" w:cs="Arial" w:eastAsia="Arial" w:hAnsi="Arial"/>
          <w:color w:val="1A1A1A"/>
          <w:sz w:val="22"/>
          <w:szCs w:val="22"/>
        </w:rPr>
        <w:t xml:space="preserve">If you cannot determine how to implement something from the design documents: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1. Re-read the relevant section of the Architecture doc.</w:t>
            </w:r>
          </w:p>
          <w:p>
            <w:pPr>
              <w:spacing w:after="16" w:before="16"/>
            </w:pPr>
            <w:r>
              <w:rPr>
                <w:rFonts w:ascii="Courier New" w:cs="Courier New" w:eastAsia="Courier New" w:hAnsi="Courier New"/>
                <w:color w:val="1A1A1A"/>
                <w:sz w:val="18"/>
                <w:szCs w:val="18"/>
              </w:rPr>
              <w:t xml:space="preserve">2. Re-read the relevant section of the Event Schema.</w:t>
            </w:r>
          </w:p>
          <w:p>
            <w:pPr>
              <w:spacing w:after="16" w:before="16"/>
            </w:pPr>
            <w:r>
              <w:rPr>
                <w:rFonts w:ascii="Courier New" w:cs="Courier New" w:eastAsia="Courier New" w:hAnsi="Courier New"/>
                <w:color w:val="1A1A1A"/>
                <w:sz w:val="18"/>
                <w:szCs w:val="18"/>
              </w:rPr>
              <w:t xml:space="preserve">3. If the question is about an interface or contract, check the API doc.</w:t>
            </w:r>
          </w:p>
          <w:p>
            <w:pPr>
              <w:spacing w:after="16" w:before="16"/>
            </w:pPr>
            <w:r>
              <w:rPr>
                <w:rFonts w:ascii="Courier New" w:cs="Courier New" w:eastAsia="Courier New" w:hAnsi="Courier New"/>
                <w:color w:val="1A1A1A"/>
                <w:sz w:val="18"/>
                <w:szCs w:val="18"/>
              </w:rPr>
              <w:t xml:space="preserve">4. If still unclear, implement the simplest version that satisfies</w:t>
            </w:r>
          </w:p>
          <w:p>
            <w:pPr>
              <w:spacing w:after="16" w:before="16"/>
            </w:pPr>
            <w:r>
              <w:rPr>
                <w:rFonts w:ascii="Courier New" w:cs="Courier New" w:eastAsia="Courier New" w:hAnsi="Courier New"/>
                <w:color w:val="1A1A1A"/>
                <w:sz w:val="18"/>
                <w:szCs w:val="18"/>
              </w:rPr>
              <w:t xml:space="preserve">   the verification gate and leave a TODO comment:</w:t>
            </w:r>
          </w:p>
          <w:p>
            <w:pPr>
              <w:spacing w:after="16" w:before="16"/>
            </w:pPr>
            <w:r>
              <w:rPr>
                <w:rFonts w:ascii="Courier New" w:cs="Courier New" w:eastAsia="Courier New" w:hAnsi="Courier New"/>
                <w:color w:val="1A1A1A"/>
                <w:sz w:val="18"/>
                <w:szCs w:val="18"/>
              </w:rPr>
              <w:t xml:space="preserve">   // TODO: [description of what needs clarification]</w:t>
            </w:r>
          </w:p>
          <w:p>
            <w:pPr>
              <w:spacing w:after="16" w:before="16"/>
            </w:pPr>
            <w:r>
              <w:rPr>
                <w:rFonts w:ascii="Courier New" w:cs="Courier New" w:eastAsia="Courier New" w:hAnsi="Courier New"/>
                <w:color w:val="1A1A1A"/>
                <w:sz w:val="18"/>
                <w:szCs w:val="18"/>
              </w:rPr>
              <w:t xml:space="preserve">5. Do NOT invent a complex solution when a simple one satisfies the gate.</w:t>
            </w:r>
          </w:p>
          <w:p>
            <w:pPr>
              <w:spacing w:after="16" w:before="16"/>
            </w:pPr>
            <w:r>
              <w:rPr>
                <w:rFonts w:ascii="Courier New" w:cs="Courier New" w:eastAsia="Courier New" w:hAnsi="Courier New"/>
                <w:color w:val="1A1A1A"/>
                <w:sz w:val="18"/>
                <w:szCs w:val="18"/>
              </w:rPr>
              <w:t xml:space="preserve">6. Do NOT skip the verification gate and move to the next phase.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A simple stub that passes the gate is always better than an elaborate implementation that doesn't. The gates are the truth.</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8. Quick Reference — Key Terms</w:t>
      </w:r>
    </w:p>
    <w:p>
      <w:pPr>
        <w:spacing w:after="80" w:before="80"/>
      </w:pPr>
      <w:r>
        <w:rPr>
          <w:rFonts w:ascii="Arial" w:cs="Arial" w:eastAsia="Arial" w:hAnsi="Arial"/>
          <w:color w:val="1A1A1A"/>
          <w:sz w:val="22"/>
          <w:szCs w:val="22"/>
        </w:rPr>
        <w:t xml:space="preserve">These are the most commonly confused or misapplied terms. Get these right.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Meaning in this codebase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root aggregate. A scoped task with collaborators. NOT a 'Collaboration' or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configuration template (system prompt, model, tools). NOT the running agent.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AgentInstance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 running instantiation of an AgentType. One per container.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AgentLoopStepper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class that drives the agent loop. The 'run()' method is the entry point.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LoopStatus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Execution state of the loop: IN_STEP, IDLE, PENDING, STUCK. NOT the same as AssistantStatus.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conversation state: START, IDLE, PAUSED, TOOL_USE, REFUSED. NOT coordinator pause.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CollaboratorName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@name/#name addressing type. Sealed class from the existing loop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natural key for a Conversation. Sealed class: Channel or DirectMessage.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@system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Reserved sender identity for Coordinator notifications. NOT a real Collaborator.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EventStoreProxy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Old name — now called Agent Gateway API. Do not use the old name.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ControlPlaneAPI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Old name — now called Agent Control API. Do not use the old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Old name for Effort. Do not use 'Collaboration' in code or comments.</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Agent Task Brief. This document is your primary operational guide. When in doubt, re-read it.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2026-03-17T03:23:16.805Z</dcterms:created>
  <dcterms:modified xsi:type="dcterms:W3CDTF">2026-03-17T03:23:16.806Z</dcterms:modified>
</cp:coreProperties>
</file>

<file path=docProps/custom.xml><?xml version="1.0" encoding="utf-8"?>
<Properties xmlns="http://schemas.openxmlformats.org/officeDocument/2006/custom-properties" xmlns:vt="http://schemas.openxmlformats.org/officeDocument/2006/docPropsVTypes"/>
</file>