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实验二  BP算法实践实验报告</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6"/>
        <w:gridCol w:w="2266"/>
        <w:gridCol w:w="2266"/>
        <w:gridCol w:w="2266"/>
      </w:tblGrid>
      <w:tr>
        <w:tc>
          <w:tcPr>
            <w:tcW w:type="dxa" w:w="2266"/>
          </w:tcPr>
          <w:p>
            <w:r/>
            <w:r>
              <w:rPr>
                <w:rFonts w:ascii="宋体" w:hAnsi="宋体" w:eastAsia="宋体"/>
                <w:b/>
                <w:sz w:val="24"/>
              </w:rPr>
              <w:t>课程名称</w:t>
            </w:r>
          </w:p>
        </w:tc>
        <w:tc>
          <w:tcPr>
            <w:tcW w:type="dxa" w:w="2266"/>
          </w:tcPr>
          <w:p>
            <w:r/>
            <w:r>
              <w:rPr>
                <w:rFonts w:ascii="宋体" w:hAnsi="宋体" w:eastAsia="宋体"/>
                <w:b w:val="0"/>
                <w:sz w:val="24"/>
              </w:rPr>
              <w:t>机器学习</w:t>
            </w:r>
          </w:p>
        </w:tc>
        <w:tc>
          <w:tcPr>
            <w:tcW w:type="dxa" w:w="2266"/>
          </w:tcPr>
          <w:p>
            <w:r/>
            <w:r>
              <w:rPr>
                <w:rFonts w:ascii="宋体" w:hAnsi="宋体" w:eastAsia="宋体"/>
                <w:b/>
                <w:sz w:val="24"/>
              </w:rPr>
              <w:t>实验名称</w:t>
            </w:r>
          </w:p>
        </w:tc>
        <w:tc>
          <w:tcPr>
            <w:tcW w:type="dxa" w:w="2266"/>
          </w:tcPr>
          <w:p>
            <w:r/>
            <w:r>
              <w:rPr>
                <w:rFonts w:ascii="宋体" w:hAnsi="宋体" w:eastAsia="宋体"/>
                <w:b w:val="0"/>
                <w:sz w:val="24"/>
              </w:rPr>
              <w:t>BP算法实践</w:t>
            </w:r>
          </w:p>
        </w:tc>
      </w:tr>
      <w:tr>
        <w:tc>
          <w:tcPr>
            <w:tcW w:type="dxa" w:w="2266"/>
          </w:tcPr>
          <w:p>
            <w:r/>
            <w:r>
              <w:rPr>
                <w:rFonts w:ascii="宋体" w:hAnsi="宋体" w:eastAsia="宋体"/>
                <w:b/>
                <w:sz w:val="24"/>
              </w:rPr>
              <w:t>实验工具</w:t>
            </w:r>
          </w:p>
        </w:tc>
        <w:tc>
          <w:tcPr>
            <w:tcW w:type="dxa" w:w="2266"/>
          </w:tcPr>
          <w:p>
            <w:r/>
            <w:r>
              <w:rPr>
                <w:rFonts w:ascii="宋体" w:hAnsi="宋体" w:eastAsia="宋体"/>
                <w:b w:val="0"/>
                <w:sz w:val="24"/>
              </w:rPr>
              <w:t>Python、NumPy</w:t>
            </w:r>
          </w:p>
        </w:tc>
        <w:tc>
          <w:tcPr>
            <w:tcW w:type="dxa" w:w="2266"/>
          </w:tcPr>
          <w:p>
            <w:r/>
            <w:r>
              <w:rPr>
                <w:rFonts w:ascii="宋体" w:hAnsi="宋体" w:eastAsia="宋体"/>
                <w:b/>
                <w:sz w:val="24"/>
              </w:rPr>
              <w:t>数据集</w:t>
            </w:r>
          </w:p>
        </w:tc>
        <w:tc>
          <w:tcPr>
            <w:tcW w:type="dxa" w:w="2266"/>
          </w:tcPr>
          <w:p>
            <w:r/>
            <w:r>
              <w:rPr>
                <w:rFonts w:ascii="宋体" w:hAnsi="宋体" w:eastAsia="宋体"/>
                <w:b w:val="0"/>
                <w:sz w:val="24"/>
              </w:rPr>
              <w:t>鸢尾花数据集、葡萄酒品质数据集</w:t>
            </w:r>
          </w:p>
        </w:tc>
      </w:tr>
      <w:tr>
        <w:tc>
          <w:tcPr>
            <w:tcW w:type="dxa" w:w="2266"/>
          </w:tcPr>
          <w:p>
            <w:r/>
            <w:r>
              <w:rPr>
                <w:rFonts w:ascii="宋体" w:hAnsi="宋体" w:eastAsia="宋体"/>
                <w:b/>
                <w:sz w:val="24"/>
              </w:rPr>
              <w:t>学生姓名</w:t>
            </w:r>
          </w:p>
        </w:tc>
        <w:tc>
          <w:tcPr>
            <w:tcW w:type="dxa" w:w="2266"/>
          </w:tcPr>
          <w:p>
            <w:r/>
            <w:r>
              <w:rPr>
                <w:rFonts w:ascii="宋体" w:hAnsi="宋体" w:eastAsia="宋体"/>
                <w:b w:val="0"/>
                <w:sz w:val="24"/>
              </w:rPr>
              <w:t>严浩睿</w:t>
            </w:r>
          </w:p>
        </w:tc>
        <w:tc>
          <w:tcPr>
            <w:tcW w:type="dxa" w:w="2266"/>
          </w:tcPr>
          <w:p>
            <w:r/>
            <w:r>
              <w:rPr>
                <w:rFonts w:ascii="宋体" w:hAnsi="宋体" w:eastAsia="宋体"/>
                <w:b/>
                <w:sz w:val="24"/>
              </w:rPr>
              <w:t>学号</w:t>
            </w:r>
          </w:p>
        </w:tc>
        <w:tc>
          <w:tcPr>
            <w:tcW w:type="dxa" w:w="2266"/>
          </w:tcPr>
          <w:p>
            <w:r/>
            <w:r>
              <w:rPr>
                <w:rFonts w:ascii="宋体" w:hAnsi="宋体" w:eastAsia="宋体"/>
                <w:b w:val="0"/>
                <w:sz w:val="24"/>
              </w:rPr>
              <w:t>20240395</w:t>
            </w:r>
          </w:p>
        </w:tc>
      </w:tr>
    </w:tbl>
    <w:p>
      <w:pPr>
        <w:spacing w:before="160" w:after="80"/>
      </w:pPr>
      <w:r>
        <w:rPr>
          <w:rFonts w:ascii="宋体" w:hAnsi="宋体" w:eastAsia="宋体"/>
          <w:b/>
          <w:sz w:val="28"/>
        </w:rPr>
        <w:t>一、实验目的</w:t>
      </w:r>
    </w:p>
    <w:p>
      <w:pPr>
        <w:spacing w:line="360" w:lineRule="auto"/>
        <w:ind w:firstLine="480"/>
      </w:pPr>
      <w:r>
        <w:rPr>
          <w:rFonts w:ascii="宋体" w:hAnsi="宋体" w:eastAsia="宋体"/>
          <w:sz w:val="24"/>
        </w:rPr>
        <w:t>理解 BP 神经网络的基本结构、前向传播过程和误差反向传播思想，掌握使用 Python 从零实现多层前馈神经网络的方法。</w:t>
      </w:r>
    </w:p>
    <w:p>
      <w:pPr>
        <w:spacing w:line="360" w:lineRule="auto"/>
        <w:ind w:firstLine="480"/>
      </w:pPr>
      <w:r>
        <w:rPr>
          <w:rFonts w:ascii="宋体" w:hAnsi="宋体" w:eastAsia="宋体"/>
          <w:sz w:val="24"/>
        </w:rPr>
        <w:t>在鸢尾花数据集和葡萄酒品质数据集上完成训练、预测与评价，观察不同数据集规模与特征维度下 BP 算法的收敛行为与分类性能。</w:t>
      </w:r>
    </w:p>
    <w:p>
      <w:pPr>
        <w:spacing w:before="160" w:after="80"/>
      </w:pPr>
      <w:r>
        <w:rPr>
          <w:rFonts w:ascii="宋体" w:hAnsi="宋体" w:eastAsia="宋体"/>
          <w:b/>
          <w:sz w:val="28"/>
        </w:rPr>
        <w:t>二、实验项目内容</w:t>
      </w:r>
    </w:p>
    <w:p>
      <w:pPr>
        <w:spacing w:line="360" w:lineRule="auto"/>
        <w:ind w:firstLine="480"/>
      </w:pPr>
      <w:r>
        <w:rPr>
          <w:rFonts w:ascii="宋体" w:hAnsi="宋体" w:eastAsia="宋体"/>
          <w:sz w:val="24"/>
        </w:rPr>
        <w:t>（1）理解并描述 BP 算法原理，包括前向传播、误差计算、反向传播梯度推导及参数更新公式。</w:t>
      </w:r>
    </w:p>
    <w:p>
      <w:pPr>
        <w:spacing w:line="360" w:lineRule="auto"/>
        <w:ind w:firstLine="480"/>
      </w:pPr>
      <w:r>
        <w:rPr>
          <w:rFonts w:ascii="宋体" w:hAnsi="宋体" w:eastAsia="宋体"/>
          <w:sz w:val="24"/>
        </w:rPr>
        <w:t>（2）编程实现单隐含层 BP 神经网络分类器，支持多分类任务，使用 Sigmoid 激活函数与 Softmax 输出层，交叉熵损失函数。</w:t>
      </w:r>
    </w:p>
    <w:p>
      <w:pPr>
        <w:spacing w:line="360" w:lineRule="auto"/>
        <w:ind w:firstLine="480"/>
      </w:pPr>
      <w:r>
        <w:rPr>
          <w:rFonts w:ascii="宋体" w:hAnsi="宋体" w:eastAsia="宋体"/>
          <w:sz w:val="24"/>
        </w:rPr>
        <w:t>（3）将算法应用于鸢尾花数据集（150 样本，4 特征，3 类别）和葡萄酒品质数据集（1599 样本，11 特征，3 个品质等级），进行训练与测试。</w:t>
      </w:r>
    </w:p>
    <w:p>
      <w:pPr>
        <w:spacing w:line="360" w:lineRule="auto"/>
        <w:ind w:firstLine="480"/>
      </w:pPr>
      <w:r>
        <w:rPr>
          <w:rFonts w:ascii="宋体" w:hAnsi="宋体" w:eastAsia="宋体"/>
          <w:sz w:val="24"/>
        </w:rPr>
        <w:t>（4）分析实验结果，包括训练/测试准确率、混淆矩阵和损失收敛曲线，对比两个数据集上的模型表现差异。</w:t>
      </w:r>
    </w:p>
    <w:p>
      <w:pPr>
        <w:spacing w:before="160" w:after="80"/>
      </w:pPr>
      <w:r>
        <w:rPr>
          <w:rFonts w:ascii="宋体" w:hAnsi="宋体" w:eastAsia="宋体"/>
          <w:b/>
          <w:sz w:val="28"/>
        </w:rPr>
        <w:t>三、实验过程或算法（源程序）</w:t>
      </w:r>
    </w:p>
    <w:p>
      <w:pPr>
        <w:spacing w:before="160" w:after="80"/>
      </w:pPr>
      <w:r>
        <w:rPr>
          <w:rFonts w:ascii="宋体" w:hAnsi="宋体" w:eastAsia="宋体"/>
          <w:b/>
          <w:sz w:val="24"/>
        </w:rPr>
        <w:t>1. BP 算法原理</w:t>
      </w:r>
    </w:p>
    <w:p>
      <w:pPr>
        <w:spacing w:line="360" w:lineRule="auto"/>
        <w:ind w:firstLine="480"/>
      </w:pPr>
      <w:r>
        <w:rPr>
          <w:rFonts w:ascii="宋体" w:hAnsi="宋体" w:eastAsia="宋体"/>
          <w:sz w:val="24"/>
        </w:rPr>
        <w:t>BP（Back Propagation）算法是一种用于训练多层前馈神经网络的监督学习算法。其核心思想是：首先通过前向传播计算网络输出，然后根据输出与真实标签之间的误差计算损失函数，再利用链式法则将误差从输出层逐层反向传播至隐藏层和输入层，计算各层权重和偏置的梯度，最后使用梯度下降法更新网络参数，通过多轮迭代使损失函数不断减小。</w:t>
      </w:r>
    </w:p>
    <w:p>
      <w:pPr>
        <w:spacing w:line="360" w:lineRule="auto"/>
        <w:ind w:firstLine="480"/>
      </w:pPr>
      <w:r>
        <w:rPr>
          <w:rFonts w:ascii="宋体" w:hAnsi="宋体" w:eastAsia="宋体"/>
          <w:sz w:val="24"/>
        </w:rPr>
        <w:t>本实验采用单隐含层前馈神经网络结构。记输入为 x∈R^d，隐含层输出为 h = σ(W1·x + b1)，其中 σ 为 Sigmoid 激活函数 σ(z) = 1/(1+e^(-z))。输出层使用 Softmax 函数将隐含层输出映射为类别概率：ŷ = softmax(W2·h + b2)。多分类任务使用交叉熵损失函数：L = -Σ y·log(ŷ)。</w:t>
      </w:r>
    </w:p>
    <w:p>
      <w:pPr>
        <w:spacing w:line="360" w:lineRule="auto"/>
        <w:ind w:firstLine="480"/>
      </w:pPr>
      <w:r>
        <w:rPr>
          <w:rFonts w:ascii="宋体" w:hAnsi="宋体" w:eastAsia="宋体"/>
          <w:sz w:val="24"/>
        </w:rPr>
        <w:t>反向传播过程中，首先计算输出层误差 δ2 = ŷ - y，然后计算隐含层误差 δ1 = (δ2·W2^T) ⊙ h ⊙ (1-h)，其中 ⊙ 表示逐元素乘法。权重和偏置的梯度为：∂L/∂W2 = h^T·δ2，∂L/∂b2 = Σδ2，∂L/∂W1 = x^T·δ1，∂L/∂b1 = Σδ1。参数更新公式为：W ← W - η·∂L/∂W，b ← b - η·∂L/∂b，其中 η 为学习率。</w:t>
      </w:r>
    </w:p>
    <w:p>
      <w:pPr>
        <w:spacing w:before="160" w:after="80"/>
      </w:pPr>
      <w:r>
        <w:rPr>
          <w:rFonts w:ascii="宋体" w:hAnsi="宋体" w:eastAsia="宋体"/>
          <w:b/>
          <w:sz w:val="24"/>
        </w:rPr>
        <w:t>2. 算法实现步骤</w:t>
      </w:r>
    </w:p>
    <w:p>
      <w:pPr>
        <w:spacing w:line="360" w:lineRule="auto"/>
        <w:ind w:firstLine="480"/>
      </w:pPr>
      <w:r>
        <w:rPr>
          <w:rFonts w:ascii="宋体" w:hAnsi="宋体" w:eastAsia="宋体"/>
          <w:sz w:val="24"/>
        </w:rPr>
        <w:t>（1）数据预处理：读取 CSV 数据文件，将类别标签转换为整数编码。按类别进行分层抽样，划分训练集（约 70%）和测试集（约 30%）。使用训练集的均值和标准差对特征进行标准化处理，避免不同量纲对梯度更新造成不稳定影响。</w:t>
      </w:r>
    </w:p>
    <w:p>
      <w:pPr>
        <w:spacing w:line="360" w:lineRule="auto"/>
        <w:ind w:firstLine="480"/>
      </w:pPr>
      <w:r>
        <w:rPr>
          <w:rFonts w:ascii="宋体" w:hAnsi="宋体" w:eastAsia="宋体"/>
          <w:sz w:val="24"/>
        </w:rPr>
        <w:t>（2）网络初始化：使用 He 初始化方法随机初始化权重矩阵 W1（d×h）和 W2（h×c），偏置 b1 和 b2 初始化为零向量。其中 d 为输入特征数，h 为隐含层神经元数，c 为类别数。</w:t>
      </w:r>
    </w:p>
    <w:p>
      <w:pPr>
        <w:spacing w:line="360" w:lineRule="auto"/>
        <w:ind w:firstLine="480"/>
      </w:pPr>
      <w:r>
        <w:rPr>
          <w:rFonts w:ascii="宋体" w:hAnsi="宋体" w:eastAsia="宋体"/>
          <w:sz w:val="24"/>
        </w:rPr>
        <w:t>（3）训练过程：每一轮迭代依次执行前向传播计算输出概率、交叉熵损失计算、反向传播计算梯度、梯度下降更新参数四个步骤。记录每轮的损失值和训练准确率，用于后续分析和可视化。</w:t>
      </w:r>
    </w:p>
    <w:p>
      <w:pPr>
        <w:spacing w:line="360" w:lineRule="auto"/>
        <w:ind w:firstLine="480"/>
      </w:pPr>
      <w:r>
        <w:rPr>
          <w:rFonts w:ascii="宋体" w:hAnsi="宋体" w:eastAsia="宋体"/>
          <w:sz w:val="24"/>
        </w:rPr>
        <w:t>（4）模型评估：使用训练好的模型对测试集进行预测，计算测试准确率，并生成混淆矩阵以分析各类别的分类情况。</w:t>
      </w:r>
    </w:p>
    <w:p>
      <w:pPr>
        <w:spacing w:before="160" w:after="80"/>
      </w:pPr>
      <w:r>
        <w:rPr>
          <w:rFonts w:ascii="宋体" w:hAnsi="宋体" w:eastAsia="宋体"/>
          <w:b/>
          <w:sz w:val="28"/>
        </w:rPr>
        <w:t>四、实验结果及分析</w:t>
      </w:r>
    </w:p>
    <w:p>
      <w:pPr>
        <w:spacing w:before="160" w:after="80"/>
      </w:pPr>
      <w:r>
        <w:rPr>
          <w:rFonts w:ascii="宋体" w:hAnsi="宋体" w:eastAsia="宋体"/>
          <w:b/>
          <w:sz w:val="24"/>
        </w:rPr>
        <w:t>4.1 实验结果汇总</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33"/>
        <w:gridCol w:w="1133"/>
        <w:gridCol w:w="1133"/>
        <w:gridCol w:w="1133"/>
        <w:gridCol w:w="1133"/>
        <w:gridCol w:w="1133"/>
        <w:gridCol w:w="1133"/>
        <w:gridCol w:w="1133"/>
      </w:tblGrid>
      <w:tr>
        <w:tc>
          <w:tcPr>
            <w:tcW w:type="dxa" w:w="1133"/>
          </w:tcPr>
          <w:p>
            <w:r/>
            <w:r>
              <w:rPr>
                <w:rFonts w:ascii="宋体" w:hAnsi="宋体" w:eastAsia="宋体"/>
                <w:b/>
                <w:sz w:val="24"/>
              </w:rPr>
              <w:t>数据集</w:t>
            </w:r>
          </w:p>
        </w:tc>
        <w:tc>
          <w:tcPr>
            <w:tcW w:type="dxa" w:w="1133"/>
          </w:tcPr>
          <w:p>
            <w:r/>
            <w:r>
              <w:rPr>
                <w:rFonts w:ascii="宋体" w:hAnsi="宋体" w:eastAsia="宋体"/>
                <w:b/>
                <w:sz w:val="24"/>
              </w:rPr>
              <w:t>样本数</w:t>
            </w:r>
          </w:p>
        </w:tc>
        <w:tc>
          <w:tcPr>
            <w:tcW w:type="dxa" w:w="1133"/>
          </w:tcPr>
          <w:p>
            <w:r/>
            <w:r>
              <w:rPr>
                <w:rFonts w:ascii="宋体" w:hAnsi="宋体" w:eastAsia="宋体"/>
                <w:b/>
                <w:sz w:val="24"/>
              </w:rPr>
              <w:t>特征数</w:t>
            </w:r>
          </w:p>
        </w:tc>
        <w:tc>
          <w:tcPr>
            <w:tcW w:type="dxa" w:w="1133"/>
          </w:tcPr>
          <w:p>
            <w:r/>
            <w:r>
              <w:rPr>
                <w:rFonts w:ascii="宋体" w:hAnsi="宋体" w:eastAsia="宋体"/>
                <w:b/>
                <w:sz w:val="24"/>
              </w:rPr>
              <w:t>隐含层节点</w:t>
            </w:r>
          </w:p>
        </w:tc>
        <w:tc>
          <w:tcPr>
            <w:tcW w:type="dxa" w:w="1133"/>
          </w:tcPr>
          <w:p>
            <w:r/>
            <w:r>
              <w:rPr>
                <w:rFonts w:ascii="宋体" w:hAnsi="宋体" w:eastAsia="宋体"/>
                <w:b/>
                <w:sz w:val="24"/>
              </w:rPr>
              <w:t>学习率</w:t>
            </w:r>
          </w:p>
        </w:tc>
        <w:tc>
          <w:tcPr>
            <w:tcW w:type="dxa" w:w="1133"/>
          </w:tcPr>
          <w:p>
            <w:r/>
            <w:r>
              <w:rPr>
                <w:rFonts w:ascii="宋体" w:hAnsi="宋体" w:eastAsia="宋体"/>
                <w:b/>
                <w:sz w:val="24"/>
              </w:rPr>
              <w:t>训练准确率</w:t>
            </w:r>
          </w:p>
        </w:tc>
        <w:tc>
          <w:tcPr>
            <w:tcW w:type="dxa" w:w="1133"/>
          </w:tcPr>
          <w:p>
            <w:r/>
            <w:r>
              <w:rPr>
                <w:rFonts w:ascii="宋体" w:hAnsi="宋体" w:eastAsia="宋体"/>
                <w:b/>
                <w:sz w:val="24"/>
              </w:rPr>
              <w:t>测试准确率</w:t>
            </w:r>
          </w:p>
        </w:tc>
        <w:tc>
          <w:tcPr>
            <w:tcW w:type="dxa" w:w="1133"/>
          </w:tcPr>
          <w:p>
            <w:r/>
            <w:r>
              <w:rPr>
                <w:rFonts w:ascii="宋体" w:hAnsi="宋体" w:eastAsia="宋体"/>
                <w:b/>
                <w:sz w:val="24"/>
              </w:rPr>
              <w:t>最终损失</w:t>
            </w:r>
          </w:p>
        </w:tc>
      </w:tr>
      <w:tr>
        <w:tc>
          <w:tcPr>
            <w:tcW w:type="dxa" w:w="1133"/>
          </w:tcPr>
          <w:p>
            <w:r/>
            <w:r>
              <w:rPr>
                <w:rFonts w:ascii="宋体" w:hAnsi="宋体" w:eastAsia="宋体"/>
                <w:b w:val="0"/>
                <w:sz w:val="24"/>
              </w:rPr>
              <w:t>鸢尾花数据集</w:t>
            </w:r>
          </w:p>
        </w:tc>
        <w:tc>
          <w:tcPr>
            <w:tcW w:type="dxa" w:w="1133"/>
          </w:tcPr>
          <w:p>
            <w:r/>
            <w:r>
              <w:rPr>
                <w:rFonts w:ascii="宋体" w:hAnsi="宋体" w:eastAsia="宋体"/>
                <w:b w:val="0"/>
                <w:sz w:val="24"/>
              </w:rPr>
              <w:t>150</w:t>
            </w:r>
          </w:p>
        </w:tc>
        <w:tc>
          <w:tcPr>
            <w:tcW w:type="dxa" w:w="1133"/>
          </w:tcPr>
          <w:p>
            <w:r/>
            <w:r>
              <w:rPr>
                <w:rFonts w:ascii="宋体" w:hAnsi="宋体" w:eastAsia="宋体"/>
                <w:b w:val="0"/>
                <w:sz w:val="24"/>
              </w:rPr>
              <w:t>4</w:t>
            </w:r>
          </w:p>
        </w:tc>
        <w:tc>
          <w:tcPr>
            <w:tcW w:type="dxa" w:w="1133"/>
          </w:tcPr>
          <w:p>
            <w:r/>
            <w:r>
              <w:rPr>
                <w:rFonts w:ascii="宋体" w:hAnsi="宋体" w:eastAsia="宋体"/>
                <w:b w:val="0"/>
                <w:sz w:val="24"/>
              </w:rPr>
              <w:t>10</w:t>
            </w:r>
          </w:p>
        </w:tc>
        <w:tc>
          <w:tcPr>
            <w:tcW w:type="dxa" w:w="1133"/>
          </w:tcPr>
          <w:p>
            <w:r/>
            <w:r>
              <w:rPr>
                <w:rFonts w:ascii="宋体" w:hAnsi="宋体" w:eastAsia="宋体"/>
                <w:b w:val="0"/>
                <w:sz w:val="24"/>
              </w:rPr>
              <w:t>0.080</w:t>
            </w:r>
          </w:p>
        </w:tc>
        <w:tc>
          <w:tcPr>
            <w:tcW w:type="dxa" w:w="1133"/>
          </w:tcPr>
          <w:p>
            <w:r/>
            <w:r>
              <w:rPr>
                <w:rFonts w:ascii="宋体" w:hAnsi="宋体" w:eastAsia="宋体"/>
                <w:b w:val="0"/>
                <w:sz w:val="24"/>
              </w:rPr>
              <w:t>98.10%</w:t>
            </w:r>
          </w:p>
        </w:tc>
        <w:tc>
          <w:tcPr>
            <w:tcW w:type="dxa" w:w="1133"/>
          </w:tcPr>
          <w:p>
            <w:r/>
            <w:r>
              <w:rPr>
                <w:rFonts w:ascii="宋体" w:hAnsi="宋体" w:eastAsia="宋体"/>
                <w:b w:val="0"/>
                <w:sz w:val="24"/>
              </w:rPr>
              <w:t>95.56%</w:t>
            </w:r>
          </w:p>
        </w:tc>
        <w:tc>
          <w:tcPr>
            <w:tcW w:type="dxa" w:w="1133"/>
          </w:tcPr>
          <w:p>
            <w:r/>
            <w:r>
              <w:rPr>
                <w:rFonts w:ascii="宋体" w:hAnsi="宋体" w:eastAsia="宋体"/>
                <w:b w:val="0"/>
                <w:sz w:val="24"/>
              </w:rPr>
              <w:t>0.0576</w:t>
            </w:r>
          </w:p>
        </w:tc>
      </w:tr>
      <w:tr>
        <w:tc>
          <w:tcPr>
            <w:tcW w:type="dxa" w:w="1133"/>
          </w:tcPr>
          <w:p>
            <w:r/>
            <w:r>
              <w:rPr>
                <w:rFonts w:ascii="宋体" w:hAnsi="宋体" w:eastAsia="宋体"/>
                <w:b w:val="0"/>
                <w:sz w:val="24"/>
              </w:rPr>
              <w:t>葡萄酒品质数据集</w:t>
            </w:r>
          </w:p>
        </w:tc>
        <w:tc>
          <w:tcPr>
            <w:tcW w:type="dxa" w:w="1133"/>
          </w:tcPr>
          <w:p>
            <w:r/>
            <w:r>
              <w:rPr>
                <w:rFonts w:ascii="宋体" w:hAnsi="宋体" w:eastAsia="宋体"/>
                <w:b w:val="0"/>
                <w:sz w:val="24"/>
              </w:rPr>
              <w:t>1599</w:t>
            </w:r>
          </w:p>
        </w:tc>
        <w:tc>
          <w:tcPr>
            <w:tcW w:type="dxa" w:w="1133"/>
          </w:tcPr>
          <w:p>
            <w:r/>
            <w:r>
              <w:rPr>
                <w:rFonts w:ascii="宋体" w:hAnsi="宋体" w:eastAsia="宋体"/>
                <w:b w:val="0"/>
                <w:sz w:val="24"/>
              </w:rPr>
              <w:t>11</w:t>
            </w:r>
          </w:p>
        </w:tc>
        <w:tc>
          <w:tcPr>
            <w:tcW w:type="dxa" w:w="1133"/>
          </w:tcPr>
          <w:p>
            <w:r/>
            <w:r>
              <w:rPr>
                <w:rFonts w:ascii="宋体" w:hAnsi="宋体" w:eastAsia="宋体"/>
                <w:b w:val="0"/>
                <w:sz w:val="24"/>
              </w:rPr>
              <w:t>16</w:t>
            </w:r>
          </w:p>
        </w:tc>
        <w:tc>
          <w:tcPr>
            <w:tcW w:type="dxa" w:w="1133"/>
          </w:tcPr>
          <w:p>
            <w:r/>
            <w:r>
              <w:rPr>
                <w:rFonts w:ascii="宋体" w:hAnsi="宋体" w:eastAsia="宋体"/>
                <w:b w:val="0"/>
                <w:sz w:val="24"/>
              </w:rPr>
              <w:t>0.050</w:t>
            </w:r>
          </w:p>
        </w:tc>
        <w:tc>
          <w:tcPr>
            <w:tcW w:type="dxa" w:w="1133"/>
          </w:tcPr>
          <w:p>
            <w:r/>
            <w:r>
              <w:rPr>
                <w:rFonts w:ascii="宋体" w:hAnsi="宋体" w:eastAsia="宋体"/>
                <w:b w:val="0"/>
                <w:sz w:val="24"/>
              </w:rPr>
              <w:t>85.25%</w:t>
            </w:r>
          </w:p>
        </w:tc>
        <w:tc>
          <w:tcPr>
            <w:tcW w:type="dxa" w:w="1133"/>
          </w:tcPr>
          <w:p>
            <w:r/>
            <w:r>
              <w:rPr>
                <w:rFonts w:ascii="宋体" w:hAnsi="宋体" w:eastAsia="宋体"/>
                <w:b w:val="0"/>
                <w:sz w:val="24"/>
              </w:rPr>
              <w:t>84.17%</w:t>
            </w:r>
          </w:p>
        </w:tc>
        <w:tc>
          <w:tcPr>
            <w:tcW w:type="dxa" w:w="1133"/>
          </w:tcPr>
          <w:p>
            <w:r/>
            <w:r>
              <w:rPr>
                <w:rFonts w:ascii="宋体" w:hAnsi="宋体" w:eastAsia="宋体"/>
                <w:b w:val="0"/>
                <w:sz w:val="24"/>
              </w:rPr>
              <w:t>0.4002</w:t>
            </w:r>
          </w:p>
        </w:tc>
      </w:tr>
    </w:tbl>
    <w:p>
      <w:pPr>
        <w:spacing w:before="160" w:after="80"/>
      </w:pPr>
      <w:r>
        <w:rPr>
          <w:rFonts w:ascii="宋体" w:hAnsi="宋体" w:eastAsia="宋体"/>
          <w:b/>
          <w:sz w:val="24"/>
        </w:rPr>
        <w:t>4.2 鸢尾花数据集结果分析</w:t>
      </w:r>
    </w:p>
    <w:p>
      <w:pPr>
        <w:spacing w:line="360" w:lineRule="auto"/>
        <w:ind w:firstLine="480"/>
      </w:pPr>
      <w:r>
        <w:rPr>
          <w:rFonts w:ascii="宋体" w:hAnsi="宋体" w:eastAsia="宋体"/>
          <w:sz w:val="24"/>
        </w:rPr>
        <w:t>鸢尾花数据集共有 150 个样本，经分层抽样划分为训练集 105 个样本和测试集 45 个样本。</w:t>
      </w:r>
    </w:p>
    <w:p>
      <w:pPr>
        <w:spacing w:line="360" w:lineRule="auto"/>
        <w:ind w:firstLine="480"/>
      </w:pPr>
      <w:r>
        <w:rPr>
          <w:rFonts w:ascii="宋体" w:hAnsi="宋体" w:eastAsia="宋体"/>
          <w:sz w:val="24"/>
        </w:rPr>
        <w:t>模型结构：输入层神经元数等于特征维度，隐含层 10 个神经元（Sigmoid 激活），输出层 3 个神经元（Softmax 激活）。学习率 η = 0.080，训练轮数 = 3500。</w:t>
      </w:r>
    </w:p>
    <w:p>
      <w:pPr>
        <w:spacing w:line="360" w:lineRule="auto"/>
        <w:ind w:firstLine="480"/>
      </w:pPr>
      <w:r>
        <w:rPr>
          <w:rFonts w:ascii="宋体" w:hAnsi="宋体" w:eastAsia="宋体"/>
          <w:sz w:val="24"/>
        </w:rPr>
        <w:t>训练结果：训练集准确率 98.10%，测试集准确率 95.56%，最终交叉熵损失 0.0576。</w:t>
      </w:r>
    </w:p>
    <w:p>
      <w:pPr>
        <w:spacing w:line="360" w:lineRule="auto"/>
      </w:pPr>
      <w:r>
        <w:rPr>
          <w:rFonts w:ascii="宋体" w:hAnsi="宋体" w:eastAsia="宋体"/>
          <w:sz w:val="24"/>
        </w:rPr>
        <w:t>表 1 鸢尾花数据集混淆矩阵：</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6"/>
        <w:gridCol w:w="2266"/>
        <w:gridCol w:w="2266"/>
        <w:gridCol w:w="2266"/>
      </w:tblGrid>
      <w:tr>
        <w:tc>
          <w:tcPr>
            <w:tcW w:type="dxa" w:w="2266"/>
          </w:tcPr>
          <w:p>
            <w:r/>
            <w:r>
              <w:rPr>
                <w:rFonts w:ascii="宋体" w:hAnsi="宋体" w:eastAsia="宋体"/>
                <w:b/>
                <w:sz w:val="24"/>
              </w:rPr>
              <w:t>真实\预测</w:t>
            </w:r>
          </w:p>
        </w:tc>
        <w:tc>
          <w:tcPr>
            <w:tcW w:type="dxa" w:w="2266"/>
          </w:tcPr>
          <w:p>
            <w:r/>
            <w:r>
              <w:rPr>
                <w:rFonts w:ascii="宋体" w:hAnsi="宋体" w:eastAsia="宋体"/>
                <w:b/>
                <w:sz w:val="24"/>
              </w:rPr>
              <w:t>setosa</w:t>
            </w:r>
          </w:p>
        </w:tc>
        <w:tc>
          <w:tcPr>
            <w:tcW w:type="dxa" w:w="2266"/>
          </w:tcPr>
          <w:p>
            <w:r/>
            <w:r>
              <w:rPr>
                <w:rFonts w:ascii="宋体" w:hAnsi="宋体" w:eastAsia="宋体"/>
                <w:b/>
                <w:sz w:val="24"/>
              </w:rPr>
              <w:t>versicolor</w:t>
            </w:r>
          </w:p>
        </w:tc>
        <w:tc>
          <w:tcPr>
            <w:tcW w:type="dxa" w:w="2266"/>
          </w:tcPr>
          <w:p>
            <w:r/>
            <w:r>
              <w:rPr>
                <w:rFonts w:ascii="宋体" w:hAnsi="宋体" w:eastAsia="宋体"/>
                <w:b/>
                <w:sz w:val="24"/>
              </w:rPr>
              <w:t>virginica</w:t>
            </w:r>
          </w:p>
        </w:tc>
      </w:tr>
      <w:tr>
        <w:tc>
          <w:tcPr>
            <w:tcW w:type="dxa" w:w="2266"/>
          </w:tcPr>
          <w:p>
            <w:r/>
            <w:r>
              <w:rPr>
                <w:rFonts w:ascii="宋体" w:hAnsi="宋体" w:eastAsia="宋体"/>
                <w:b/>
                <w:sz w:val="24"/>
              </w:rPr>
              <w:t>setosa</w:t>
            </w:r>
          </w:p>
        </w:tc>
        <w:tc>
          <w:tcPr>
            <w:tcW w:type="dxa" w:w="2266"/>
          </w:tcPr>
          <w:p>
            <w:r/>
            <w:r>
              <w:rPr>
                <w:rFonts w:ascii="宋体" w:hAnsi="宋体" w:eastAsia="宋体"/>
                <w:b w:val="0"/>
                <w:sz w:val="24"/>
              </w:rPr>
              <w:t>15</w:t>
            </w:r>
          </w:p>
        </w:tc>
        <w:tc>
          <w:tcPr>
            <w:tcW w:type="dxa" w:w="2266"/>
          </w:tcPr>
          <w:p>
            <w:r/>
            <w:r>
              <w:rPr>
                <w:rFonts w:ascii="宋体" w:hAnsi="宋体" w:eastAsia="宋体"/>
                <w:b w:val="0"/>
                <w:sz w:val="24"/>
              </w:rPr>
              <w:t>0</w:t>
            </w:r>
          </w:p>
        </w:tc>
        <w:tc>
          <w:tcPr>
            <w:tcW w:type="dxa" w:w="2266"/>
          </w:tcPr>
          <w:p>
            <w:r/>
            <w:r>
              <w:rPr>
                <w:rFonts w:ascii="宋体" w:hAnsi="宋体" w:eastAsia="宋体"/>
                <w:b w:val="0"/>
                <w:sz w:val="24"/>
              </w:rPr>
              <w:t>0</w:t>
            </w:r>
          </w:p>
        </w:tc>
      </w:tr>
      <w:tr>
        <w:tc>
          <w:tcPr>
            <w:tcW w:type="dxa" w:w="2266"/>
          </w:tcPr>
          <w:p>
            <w:r/>
            <w:r>
              <w:rPr>
                <w:rFonts w:ascii="宋体" w:hAnsi="宋体" w:eastAsia="宋体"/>
                <w:b/>
                <w:sz w:val="24"/>
              </w:rPr>
              <w:t>versicolor</w:t>
            </w:r>
          </w:p>
        </w:tc>
        <w:tc>
          <w:tcPr>
            <w:tcW w:type="dxa" w:w="2266"/>
          </w:tcPr>
          <w:p>
            <w:r/>
            <w:r>
              <w:rPr>
                <w:rFonts w:ascii="宋体" w:hAnsi="宋体" w:eastAsia="宋体"/>
                <w:b w:val="0"/>
                <w:sz w:val="24"/>
              </w:rPr>
              <w:t>0</w:t>
            </w:r>
          </w:p>
        </w:tc>
        <w:tc>
          <w:tcPr>
            <w:tcW w:type="dxa" w:w="2266"/>
          </w:tcPr>
          <w:p>
            <w:r/>
            <w:r>
              <w:rPr>
                <w:rFonts w:ascii="宋体" w:hAnsi="宋体" w:eastAsia="宋体"/>
                <w:b w:val="0"/>
                <w:sz w:val="24"/>
              </w:rPr>
              <w:t>14</w:t>
            </w:r>
          </w:p>
        </w:tc>
        <w:tc>
          <w:tcPr>
            <w:tcW w:type="dxa" w:w="2266"/>
          </w:tcPr>
          <w:p>
            <w:r/>
            <w:r>
              <w:rPr>
                <w:rFonts w:ascii="宋体" w:hAnsi="宋体" w:eastAsia="宋体"/>
                <w:b w:val="0"/>
                <w:sz w:val="24"/>
              </w:rPr>
              <w:t>1</w:t>
            </w:r>
          </w:p>
        </w:tc>
      </w:tr>
      <w:tr>
        <w:tc>
          <w:tcPr>
            <w:tcW w:type="dxa" w:w="2266"/>
          </w:tcPr>
          <w:p>
            <w:r/>
            <w:r>
              <w:rPr>
                <w:rFonts w:ascii="宋体" w:hAnsi="宋体" w:eastAsia="宋体"/>
                <w:b/>
                <w:sz w:val="24"/>
              </w:rPr>
              <w:t>virginica</w:t>
            </w:r>
          </w:p>
        </w:tc>
        <w:tc>
          <w:tcPr>
            <w:tcW w:type="dxa" w:w="2266"/>
          </w:tcPr>
          <w:p>
            <w:r/>
            <w:r>
              <w:rPr>
                <w:rFonts w:ascii="宋体" w:hAnsi="宋体" w:eastAsia="宋体"/>
                <w:b w:val="0"/>
                <w:sz w:val="24"/>
              </w:rPr>
              <w:t>0</w:t>
            </w:r>
          </w:p>
        </w:tc>
        <w:tc>
          <w:tcPr>
            <w:tcW w:type="dxa" w:w="2266"/>
          </w:tcPr>
          <w:p>
            <w:r/>
            <w:r>
              <w:rPr>
                <w:rFonts w:ascii="宋体" w:hAnsi="宋体" w:eastAsia="宋体"/>
                <w:b w:val="0"/>
                <w:sz w:val="24"/>
              </w:rPr>
              <w:t>1</w:t>
            </w:r>
          </w:p>
        </w:tc>
        <w:tc>
          <w:tcPr>
            <w:tcW w:type="dxa" w:w="2266"/>
          </w:tcPr>
          <w:p>
            <w:r/>
            <w:r>
              <w:rPr>
                <w:rFonts w:ascii="宋体" w:hAnsi="宋体" w:eastAsia="宋体"/>
                <w:b w:val="0"/>
                <w:sz w:val="24"/>
              </w:rPr>
              <w:t>14</w:t>
            </w:r>
          </w:p>
        </w:tc>
      </w:tr>
    </w:tbl>
    <w:p>
      <w:pPr>
        <w:jc w:val="center"/>
      </w:pPr>
      <w:r>
        <w:drawing>
          <wp:inline xmlns:a="http://schemas.openxmlformats.org/drawingml/2006/main" xmlns:pic="http://schemas.openxmlformats.org/drawingml/2006/picture">
            <wp:extent cx="4860000" cy="2808000"/>
            <wp:docPr id="1" name="Picture 1"/>
            <wp:cNvGraphicFramePr>
              <a:graphicFrameLocks noChangeAspect="1"/>
            </wp:cNvGraphicFramePr>
            <a:graphic>
              <a:graphicData uri="http://schemas.openxmlformats.org/drawingml/2006/picture">
                <pic:pic>
                  <pic:nvPicPr>
                    <pic:cNvPr id="0" name="鸢尾花数据集_loss.png"/>
                    <pic:cNvPicPr/>
                  </pic:nvPicPr>
                  <pic:blipFill>
                    <a:blip r:embed="rId9"/>
                    <a:stretch>
                      <a:fillRect/>
                    </a:stretch>
                  </pic:blipFill>
                  <pic:spPr>
                    <a:xfrm>
                      <a:off x="0" y="0"/>
                      <a:ext cx="4860000" cy="2808000"/>
                    </a:xfrm>
                    <a:prstGeom prst="rect"/>
                  </pic:spPr>
                </pic:pic>
              </a:graphicData>
            </a:graphic>
          </wp:inline>
        </w:drawing>
      </w:r>
    </w:p>
    <w:p>
      <w:pPr>
        <w:jc w:val="center"/>
      </w:pPr>
      <w:r>
        <w:rPr>
          <w:rFonts w:ascii="宋体" w:hAnsi="宋体" w:eastAsia="宋体"/>
          <w:sz w:val="21"/>
        </w:rPr>
        <w:t>图 1 鸢尾花数据集训练损失变化曲线</w:t>
      </w:r>
    </w:p>
    <w:p>
      <w:pPr>
        <w:spacing w:before="160" w:after="80"/>
      </w:pPr>
      <w:r>
        <w:rPr>
          <w:rFonts w:ascii="宋体" w:hAnsi="宋体" w:eastAsia="宋体"/>
          <w:b/>
          <w:sz w:val="24"/>
        </w:rPr>
        <w:t>4.3 葡萄酒品质数据集结果分析</w:t>
      </w:r>
    </w:p>
    <w:p>
      <w:pPr>
        <w:spacing w:line="360" w:lineRule="auto"/>
        <w:ind w:firstLine="480"/>
      </w:pPr>
      <w:r>
        <w:rPr>
          <w:rFonts w:ascii="宋体" w:hAnsi="宋体" w:eastAsia="宋体"/>
          <w:sz w:val="24"/>
        </w:rPr>
        <w:t>葡萄酒品质数据集共有 1599 个样本，经分层抽样划分为训练集 1119 个样本和测试集 480 个样本。</w:t>
      </w:r>
    </w:p>
    <w:p>
      <w:pPr>
        <w:spacing w:line="360" w:lineRule="auto"/>
        <w:ind w:firstLine="480"/>
      </w:pPr>
      <w:r>
        <w:rPr>
          <w:rFonts w:ascii="宋体" w:hAnsi="宋体" w:eastAsia="宋体"/>
          <w:sz w:val="24"/>
        </w:rPr>
        <w:t>模型结构：输入层神经元数等于特征维度，隐含层 16 个神经元（Sigmoid 激活），输出层 3 个神经元（Softmax 激活）。学习率 η = 0.050，训练轮数 = 5000。</w:t>
      </w:r>
    </w:p>
    <w:p>
      <w:pPr>
        <w:spacing w:line="360" w:lineRule="auto"/>
        <w:ind w:firstLine="480"/>
      </w:pPr>
      <w:r>
        <w:rPr>
          <w:rFonts w:ascii="宋体" w:hAnsi="宋体" w:eastAsia="宋体"/>
          <w:sz w:val="24"/>
        </w:rPr>
        <w:t>训练结果：训练集准确率 85.25%，测试集准确率 84.17%，最终交叉熵损失 0.4002。</w:t>
      </w:r>
    </w:p>
    <w:p>
      <w:pPr>
        <w:spacing w:line="360" w:lineRule="auto"/>
      </w:pPr>
      <w:r>
        <w:rPr>
          <w:rFonts w:ascii="宋体" w:hAnsi="宋体" w:eastAsia="宋体"/>
          <w:sz w:val="24"/>
        </w:rPr>
        <w:t>表 2 葡萄酒品质数据集混淆矩阵：</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6"/>
        <w:gridCol w:w="2266"/>
        <w:gridCol w:w="2266"/>
        <w:gridCol w:w="2266"/>
      </w:tblGrid>
      <w:tr>
        <w:tc>
          <w:tcPr>
            <w:tcW w:type="dxa" w:w="2266"/>
          </w:tcPr>
          <w:p>
            <w:r/>
            <w:r>
              <w:rPr>
                <w:rFonts w:ascii="宋体" w:hAnsi="宋体" w:eastAsia="宋体"/>
                <w:b/>
                <w:sz w:val="24"/>
              </w:rPr>
              <w:t>真实\预测</w:t>
            </w:r>
          </w:p>
        </w:tc>
        <w:tc>
          <w:tcPr>
            <w:tcW w:type="dxa" w:w="2266"/>
          </w:tcPr>
          <w:p>
            <w:r/>
            <w:r>
              <w:rPr>
                <w:rFonts w:ascii="宋体" w:hAnsi="宋体" w:eastAsia="宋体"/>
                <w:b/>
                <w:sz w:val="24"/>
              </w:rPr>
              <w:t>低品质(3-4)</w:t>
            </w:r>
          </w:p>
        </w:tc>
        <w:tc>
          <w:tcPr>
            <w:tcW w:type="dxa" w:w="2266"/>
          </w:tcPr>
          <w:p>
            <w:r/>
            <w:r>
              <w:rPr>
                <w:rFonts w:ascii="宋体" w:hAnsi="宋体" w:eastAsia="宋体"/>
                <w:b/>
                <w:sz w:val="24"/>
              </w:rPr>
              <w:t>中等品质(5-6)</w:t>
            </w:r>
          </w:p>
        </w:tc>
        <w:tc>
          <w:tcPr>
            <w:tcW w:type="dxa" w:w="2266"/>
          </w:tcPr>
          <w:p>
            <w:r/>
            <w:r>
              <w:rPr>
                <w:rFonts w:ascii="宋体" w:hAnsi="宋体" w:eastAsia="宋体"/>
                <w:b/>
                <w:sz w:val="24"/>
              </w:rPr>
              <w:t>高品质(7-8)</w:t>
            </w:r>
          </w:p>
        </w:tc>
      </w:tr>
      <w:tr>
        <w:tc>
          <w:tcPr>
            <w:tcW w:type="dxa" w:w="2266"/>
          </w:tcPr>
          <w:p>
            <w:r/>
            <w:r>
              <w:rPr>
                <w:rFonts w:ascii="宋体" w:hAnsi="宋体" w:eastAsia="宋体"/>
                <w:b/>
                <w:sz w:val="24"/>
              </w:rPr>
              <w:t>低品质(3-4)</w:t>
            </w:r>
          </w:p>
        </w:tc>
        <w:tc>
          <w:tcPr>
            <w:tcW w:type="dxa" w:w="2266"/>
          </w:tcPr>
          <w:p>
            <w:r/>
            <w:r>
              <w:rPr>
                <w:rFonts w:ascii="宋体" w:hAnsi="宋体" w:eastAsia="宋体"/>
                <w:b w:val="0"/>
                <w:sz w:val="24"/>
              </w:rPr>
              <w:t>0</w:t>
            </w:r>
          </w:p>
        </w:tc>
        <w:tc>
          <w:tcPr>
            <w:tcW w:type="dxa" w:w="2266"/>
          </w:tcPr>
          <w:p>
            <w:r/>
            <w:r>
              <w:rPr>
                <w:rFonts w:ascii="宋体" w:hAnsi="宋体" w:eastAsia="宋体"/>
                <w:b w:val="0"/>
                <w:sz w:val="24"/>
              </w:rPr>
              <w:t>19</w:t>
            </w:r>
          </w:p>
        </w:tc>
        <w:tc>
          <w:tcPr>
            <w:tcW w:type="dxa" w:w="2266"/>
          </w:tcPr>
          <w:p>
            <w:r/>
            <w:r>
              <w:rPr>
                <w:rFonts w:ascii="宋体" w:hAnsi="宋体" w:eastAsia="宋体"/>
                <w:b w:val="0"/>
                <w:sz w:val="24"/>
              </w:rPr>
              <w:t>0</w:t>
            </w:r>
          </w:p>
        </w:tc>
      </w:tr>
      <w:tr>
        <w:tc>
          <w:tcPr>
            <w:tcW w:type="dxa" w:w="2266"/>
          </w:tcPr>
          <w:p>
            <w:r/>
            <w:r>
              <w:rPr>
                <w:rFonts w:ascii="宋体" w:hAnsi="宋体" w:eastAsia="宋体"/>
                <w:b/>
                <w:sz w:val="24"/>
              </w:rPr>
              <w:t>中等品质(5-6)</w:t>
            </w:r>
          </w:p>
        </w:tc>
        <w:tc>
          <w:tcPr>
            <w:tcW w:type="dxa" w:w="2266"/>
          </w:tcPr>
          <w:p>
            <w:r/>
            <w:r>
              <w:rPr>
                <w:rFonts w:ascii="宋体" w:hAnsi="宋体" w:eastAsia="宋体"/>
                <w:b w:val="0"/>
                <w:sz w:val="24"/>
              </w:rPr>
              <w:t>0</w:t>
            </w:r>
          </w:p>
        </w:tc>
        <w:tc>
          <w:tcPr>
            <w:tcW w:type="dxa" w:w="2266"/>
          </w:tcPr>
          <w:p>
            <w:r/>
            <w:r>
              <w:rPr>
                <w:rFonts w:ascii="宋体" w:hAnsi="宋体" w:eastAsia="宋体"/>
                <w:b w:val="0"/>
                <w:sz w:val="24"/>
              </w:rPr>
              <w:t>383</w:t>
            </w:r>
          </w:p>
        </w:tc>
        <w:tc>
          <w:tcPr>
            <w:tcW w:type="dxa" w:w="2266"/>
          </w:tcPr>
          <w:p>
            <w:r/>
            <w:r>
              <w:rPr>
                <w:rFonts w:ascii="宋体" w:hAnsi="宋体" w:eastAsia="宋体"/>
                <w:b w:val="0"/>
                <w:sz w:val="24"/>
              </w:rPr>
              <w:t>13</w:t>
            </w:r>
          </w:p>
        </w:tc>
      </w:tr>
      <w:tr>
        <w:tc>
          <w:tcPr>
            <w:tcW w:type="dxa" w:w="2266"/>
          </w:tcPr>
          <w:p>
            <w:r/>
            <w:r>
              <w:rPr>
                <w:rFonts w:ascii="宋体" w:hAnsi="宋体" w:eastAsia="宋体"/>
                <w:b/>
                <w:sz w:val="24"/>
              </w:rPr>
              <w:t>高品质(7-8)</w:t>
            </w:r>
          </w:p>
        </w:tc>
        <w:tc>
          <w:tcPr>
            <w:tcW w:type="dxa" w:w="2266"/>
          </w:tcPr>
          <w:p>
            <w:r/>
            <w:r>
              <w:rPr>
                <w:rFonts w:ascii="宋体" w:hAnsi="宋体" w:eastAsia="宋体"/>
                <w:b w:val="0"/>
                <w:sz w:val="24"/>
              </w:rPr>
              <w:t>0</w:t>
            </w:r>
          </w:p>
        </w:tc>
        <w:tc>
          <w:tcPr>
            <w:tcW w:type="dxa" w:w="2266"/>
          </w:tcPr>
          <w:p>
            <w:r/>
            <w:r>
              <w:rPr>
                <w:rFonts w:ascii="宋体" w:hAnsi="宋体" w:eastAsia="宋体"/>
                <w:b w:val="0"/>
                <w:sz w:val="24"/>
              </w:rPr>
              <w:t>44</w:t>
            </w:r>
          </w:p>
        </w:tc>
        <w:tc>
          <w:tcPr>
            <w:tcW w:type="dxa" w:w="2266"/>
          </w:tcPr>
          <w:p>
            <w:r/>
            <w:r>
              <w:rPr>
                <w:rFonts w:ascii="宋体" w:hAnsi="宋体" w:eastAsia="宋体"/>
                <w:b w:val="0"/>
                <w:sz w:val="24"/>
              </w:rPr>
              <w:t>21</w:t>
            </w:r>
          </w:p>
        </w:tc>
      </w:tr>
    </w:tbl>
    <w:p>
      <w:pPr>
        <w:jc w:val="center"/>
      </w:pPr>
      <w:r>
        <w:drawing>
          <wp:inline xmlns:a="http://schemas.openxmlformats.org/drawingml/2006/main" xmlns:pic="http://schemas.openxmlformats.org/drawingml/2006/picture">
            <wp:extent cx="4860000" cy="2808000"/>
            <wp:docPr id="2" name="Picture 2"/>
            <wp:cNvGraphicFramePr>
              <a:graphicFrameLocks noChangeAspect="1"/>
            </wp:cNvGraphicFramePr>
            <a:graphic>
              <a:graphicData uri="http://schemas.openxmlformats.org/drawingml/2006/picture">
                <pic:pic>
                  <pic:nvPicPr>
                    <pic:cNvPr id="0" name="葡萄酒品质数据集_loss.png"/>
                    <pic:cNvPicPr/>
                  </pic:nvPicPr>
                  <pic:blipFill>
                    <a:blip r:embed="rId10"/>
                    <a:stretch>
                      <a:fillRect/>
                    </a:stretch>
                  </pic:blipFill>
                  <pic:spPr>
                    <a:xfrm>
                      <a:off x="0" y="0"/>
                      <a:ext cx="4860000" cy="2808000"/>
                    </a:xfrm>
                    <a:prstGeom prst="rect"/>
                  </pic:spPr>
                </pic:pic>
              </a:graphicData>
            </a:graphic>
          </wp:inline>
        </w:drawing>
      </w:r>
    </w:p>
    <w:p>
      <w:pPr>
        <w:jc w:val="center"/>
      </w:pPr>
      <w:r>
        <w:rPr>
          <w:rFonts w:ascii="宋体" w:hAnsi="宋体" w:eastAsia="宋体"/>
          <w:sz w:val="21"/>
        </w:rPr>
        <w:t>图 2 葡萄酒品质数据集训练损失变化曲线</w:t>
      </w:r>
    </w:p>
    <w:p>
      <w:pPr>
        <w:spacing w:before="160" w:after="80"/>
      </w:pPr>
      <w:r>
        <w:rPr>
          <w:rFonts w:ascii="宋体" w:hAnsi="宋体" w:eastAsia="宋体"/>
          <w:b/>
          <w:sz w:val="24"/>
        </w:rPr>
        <w:t>4.5 两个数据集结果对比分析</w:t>
      </w:r>
    </w:p>
    <w:p>
      <w:pPr>
        <w:spacing w:line="360" w:lineRule="auto"/>
        <w:ind w:firstLine="480"/>
      </w:pPr>
      <w:r>
        <w:rPr>
          <w:rFonts w:ascii="宋体" w:hAnsi="宋体" w:eastAsia="宋体"/>
          <w:sz w:val="24"/>
        </w:rPr>
        <w:t>鸢尾花数据集规模较小（150 样本），特征维度低（4 维），类别分布均衡（每类 50 个样本）。BP 网络在鸢尾花数据集上表现良好，训练和测试准确率均较高，损失曲线快速下降趋于平稳，说明模型能够有效学习花萼和花瓣特征与鸢尾花品种之间的映射关系。</w:t>
      </w:r>
    </w:p>
    <w:p>
      <w:pPr>
        <w:spacing w:line="360" w:lineRule="auto"/>
        <w:ind w:firstLine="480"/>
      </w:pPr>
      <w:r>
        <w:rPr>
          <w:rFonts w:ascii="宋体" w:hAnsi="宋体" w:eastAsia="宋体"/>
          <w:sz w:val="24"/>
        </w:rPr>
        <w:t>葡萄酒品质数据集规模较大（1599 样本），特征维度高（11 维），但类别分布极不均衡——中等品质（5-6 分）样本占比约 82%，低品质（3-4 分）仅占约 4%，高品质（7-8 分）约占 14%。这种类别不平衡给 BP 网络的训练带来挑战：模型倾向于将大多数样本预测为中等品质，导致少数类（低品质和高品质）的召回率较低。此外，11 个理化特征与品质等级之间的关系复杂且非线性，BP 网络需要更多隐含层节点和训练轮数来拟合这种复杂关系。</w:t>
      </w:r>
    </w:p>
    <w:p>
      <w:pPr>
        <w:spacing w:line="360" w:lineRule="auto"/>
        <w:ind w:firstLine="480"/>
      </w:pPr>
      <w:r>
        <w:rPr>
          <w:rFonts w:ascii="宋体" w:hAnsi="宋体" w:eastAsia="宋体"/>
          <w:sz w:val="24"/>
        </w:rPr>
        <w:t>从混淆矩阵可以看出，鸢尾花数据集三类几乎完全正确分类（仅个别样本误分），而葡萄酒数据集中低品质样本容易被误判为中等品质。这说明在不平衡数据集上，单纯使用准确率作为评价指标不够全面，后续可结合精确率、召回率和 F1 分数等指标进行更细致的评估。</w:t>
      </w:r>
    </w:p>
    <w:p>
      <w:pPr>
        <w:spacing w:line="360" w:lineRule="auto"/>
        <w:ind w:firstLine="480"/>
      </w:pPr>
      <w:r>
        <w:rPr>
          <w:rFonts w:ascii="宋体" w:hAnsi="宋体" w:eastAsia="宋体"/>
          <w:sz w:val="24"/>
        </w:rPr>
        <w:t>与线性的对率回归模型相比，BP 神经网络通过隐含层的非线性变换（Sigmoid 函数）引入了更强的表达能力，能够拟合特征与类别之间更复杂的非线性决策边界。然而，随着特征维度和样本量的增大，BP 网络的训练时间显著增加，且超参数（隐含层节点数、学习率、训练轮数）的选择对最终性能影响较大，需要通过实验调优来确定合适的配置。</w:t>
      </w:r>
    </w:p>
    <w:p>
      <w:pPr>
        <w:spacing w:before="160" w:after="80"/>
      </w:pPr>
      <w:r>
        <w:rPr>
          <w:rFonts w:ascii="宋体" w:hAnsi="宋体" w:eastAsia="宋体"/>
          <w:b/>
          <w:sz w:val="28"/>
        </w:rPr>
        <w:t>五、实验结论</w:t>
      </w:r>
    </w:p>
    <w:p>
      <w:pPr>
        <w:spacing w:line="360" w:lineRule="auto"/>
        <w:ind w:firstLine="480"/>
      </w:pPr>
      <w:r>
        <w:rPr>
          <w:rFonts w:ascii="宋体" w:hAnsi="宋体" w:eastAsia="宋体"/>
          <w:sz w:val="24"/>
        </w:rPr>
        <w:t>本实验基于 Python 和 NumPy 从零实现了单隐含层 BP 神经网络分类器，完整涵盖了数据读取与预处理、前向传播、误差反向传播、梯度下降参数更新以及模型评估等核心流程。在鸢尾花数据集和葡萄酒品质数据集上分别进行了训练和测试。</w:t>
      </w:r>
    </w:p>
    <w:p>
      <w:pPr>
        <w:spacing w:line="360" w:lineRule="auto"/>
        <w:ind w:firstLine="480"/>
      </w:pPr>
      <w:r>
        <w:rPr>
          <w:rFonts w:ascii="宋体" w:hAnsi="宋体" w:eastAsia="宋体"/>
          <w:sz w:val="24"/>
        </w:rPr>
        <w:t>实验结果表明：（1）BP 算法能够通过多轮迭代逐步降低交叉熵损失，在鸢尾花等特征区分度高的数据集上取得较高的分类准确率；（2）对于特征维度高、类别不平衡的葡萄酒品质数据集，BP 网络仍能学习到一定的分类规律，但少数类分类效果有限；（3）隐含层规模和学习率等超参数对模型收敛速度和最终性能有显著影响。</w:t>
      </w:r>
    </w:p>
    <w:p>
      <w:pPr>
        <w:spacing w:line="360" w:lineRule="auto"/>
        <w:ind w:firstLine="480"/>
      </w:pPr>
      <w:r>
        <w:rPr>
          <w:rFonts w:ascii="宋体" w:hAnsi="宋体" w:eastAsia="宋体"/>
          <w:sz w:val="24"/>
        </w:rPr>
        <w:t>通过本次实验，我深刻理解了神经网络训练的本质是损失函数、梯度计算、激活函数和参数更新共同构成的优化过程，而非简单的模型调用。后续可尝试引入 ReLU 等不同激活函数、添加 L2 正则化防止过拟合、采用学习率衰减策略加速收敛、以及通过过采样或加权损失函数处理类别不平衡问题，以进一步提升模型在多类型数据集上的表现。</w:t>
      </w:r>
    </w:p>
    <w:p>
      <w:pPr>
        <w:spacing w:before="160" w:after="80"/>
      </w:pPr>
      <w:r>
        <w:rPr>
          <w:rFonts w:ascii="宋体" w:hAnsi="宋体" w:eastAsia="宋体"/>
          <w:b/>
          <w:sz w:val="28"/>
        </w:rPr>
        <w:t>附录：核心程序说明</w:t>
      </w:r>
    </w:p>
    <w:p>
      <w:pPr>
        <w:spacing w:line="360" w:lineRule="auto"/>
        <w:ind w:firstLine="480"/>
      </w:pPr>
      <w:r>
        <w:rPr>
          <w:rFonts w:ascii="宋体" w:hAnsi="宋体" w:eastAsia="宋体"/>
          <w:sz w:val="24"/>
        </w:rPr>
        <w:t>完整程序文件为 bp_iris_wine.py。核心类 BPClassifier 封装了 Sigmoid 激活函数、Softmax 输出函数、forward 前向传播、fit 训练和 predict 预测等核心方法。read_iris 和 read_wine 函数分别负责鸢尾花和葡萄酒数据集的读取与标签编码。run_dataset 函数完成单个数据集的训练流程（分层划分、标准化、训练、评估）。build_report 函数负责生成完整的实验报告文档。程序运行后将在输出目录自动生成损失曲线图片和 .docx 格式实验报告。</w:t>
      </w:r>
    </w:p>
    <w:sectPr w:rsidR="00FC693F" w:rsidRPr="0006063C" w:rsidSect="00034616">
      <w:pgSz w:w="12240" w:h="15840"/>
      <w:pgMar w:top="1440" w:right="1474"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