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7815C">
      <w:pPr>
        <w:spacing w:before="156" w:beforeLines="50" w:after="156" w:afterLines="50" w:line="400" w:lineRule="atLeast"/>
        <w:jc w:val="center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重庆大学</w:t>
      </w: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02</w:t>
      </w: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数学建模</w:t>
      </w: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春季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赛</w:t>
      </w: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题目</w:t>
      </w:r>
    </w:p>
    <w:p w14:paraId="504374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请各队从下列题目中任选一题完成竞赛论文。论文须包含以下结构：标题、摘要、关键词、问题重述、问题分析、模型假设、符号说明、模型的建立与求解、结果分析与模型检验、模型评价、参考文献和附录。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附录内容应包括支撑材料的文件列表，以及建模所用到的全部完整、可运行的源程序代码（含EXCEL、SPSS等软件的交互命令）。如确未使用程序，须在附录中说明“本论文没有用到程序”。缺少必要源程序、程序无法运行或运行结果与论文不符，可能被取消评奖资格。</w:t>
      </w:r>
    </w:p>
    <w:p w14:paraId="352D30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支撑材料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要求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</w:p>
    <w:p w14:paraId="0D9715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支撑材料须包含：所有可运行源程序、自主查阅使用的数据资料（赛题提供的原始数据除外）、较大篇幅的中间结果图表、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AI工具使用详情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等。  </w:t>
      </w:r>
    </w:p>
    <w:p w14:paraId="6179C0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全部支撑材料请使用WinRAR软件压缩成一个文件（后缀为.rar或.zip，大小不超过20MB）。</w:t>
      </w:r>
    </w:p>
    <w:p w14:paraId="753309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关于AI工具的使用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 </w:t>
      </w:r>
    </w:p>
    <w:p w14:paraId="68DE9E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若使用了AI工具，须在参考文献中列出，并在正文中规范引用。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在支撑材料里给出“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AI工具使用详情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.pdf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 </w:t>
      </w:r>
    </w:p>
    <w:p w14:paraId="2DC9A1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若未使用任何AI工具，须在参考文献后明确声明：“本参赛队未使用任何AI工具”。</w:t>
      </w:r>
    </w:p>
    <w:p w14:paraId="7A8FC9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AI工具使用详情内容包括：所用AI工具名称和版本，具体使用目的和环节，关键交互记录（重要提示词与回复），采纳和人工修改情况。 </w:t>
      </w:r>
    </w:p>
    <w:p w14:paraId="5C2655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参赛作品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提交要求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</w:p>
    <w:p w14:paraId="6FFE06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请于5月31日23:55前，将选拔赛论文的电子稿（论文PDF和支撑材料压缩包两个文件）以附件形式发送至mgsxjm@163.com。请勿使用超大附件或第三方链接。  </w:t>
      </w:r>
    </w:p>
    <w:p w14:paraId="7E94F9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邮件主题格式：题号（A、B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C之一）+ 队号 + 队员姓名（示例：A2222张民，李立，王进）。  </w:t>
      </w:r>
    </w:p>
    <w:p w14:paraId="1A167F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论文PDF文件名：与邮件主题相同，如“A2222张民，李立，王进.pdf”。论文PDF无需压缩。  </w:t>
      </w:r>
    </w:p>
    <w:p w14:paraId="6C67DF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支撑材料压缩包文件名：格式为“题号+队号+队员姓名+支撑材料”，如“A2222张民，李立，王进+支撑材料.rar”。</w:t>
      </w:r>
    </w:p>
    <w:p w14:paraId="1EEEED9A">
      <w:pPr>
        <w:pStyle w:val="8"/>
        <w:keepNext w:val="0"/>
        <w:keepLines w:val="0"/>
        <w:widowControl/>
        <w:suppressLineNumbers w:val="0"/>
        <w:spacing w:before="0" w:beforeAutospacing="0" w:after="160" w:afterAutospacing="0" w:line="280" w:lineRule="atLeast"/>
        <w:ind w:left="0" w:right="0" w:firstLine="42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F601DBB">
      <w:pPr>
        <w:rPr>
          <w:rFonts w:ascii="宋体" w:hAnsi="宋体" w:eastAsia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br w:type="page"/>
      </w:r>
    </w:p>
    <w:p w14:paraId="7AB8F00C">
      <w:pPr>
        <w:rPr>
          <w:rStyle w:val="12"/>
          <w:rFonts w:hint="eastAsia" w:ascii="宋体" w:hAnsi="宋体" w:eastAsia="宋体" w:cs="Segoe UI"/>
          <w:sz w:val="30"/>
          <w:szCs w:val="30"/>
          <w:shd w:val="clear" w:color="auto" w:fill="FFFFFF"/>
        </w:rPr>
      </w:pPr>
      <w:r>
        <w:rPr>
          <w:rFonts w:ascii="宋体" w:hAnsi="宋体" w:eastAsia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A题</w:t>
      </w:r>
      <w:r>
        <w:rPr>
          <w:rFonts w:hint="eastAsia" w:ascii="宋体" w:hAnsi="宋体" w:eastAsia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2"/>
          <w:rFonts w:hint="eastAsia" w:ascii="宋体" w:hAnsi="宋体" w:eastAsia="宋体" w:cs="Segoe UI"/>
          <w:sz w:val="30"/>
          <w:szCs w:val="30"/>
          <w:shd w:val="clear" w:color="auto" w:fill="FFFFFF"/>
        </w:rPr>
        <w:t>空调负荷参与电力需求响应的优化调度策略</w:t>
      </w:r>
    </w:p>
    <w:p w14:paraId="4DF23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宋体" w:hAnsi="宋体" w:eastAsia="宋体" w:cs="宋体"/>
          <w:b/>
          <w:bCs/>
          <w:i w:val="0"/>
          <w:i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/>
          <w:sz w:val="28"/>
          <w:szCs w:val="28"/>
          <w:lang w:val="en-US" w:eastAsia="zh-CN"/>
        </w:rPr>
        <w:t>一、问题</w:t>
      </w:r>
      <w:r>
        <w:rPr>
          <w:rFonts w:hint="eastAsia" w:ascii="宋体" w:hAnsi="宋体" w:eastAsia="宋体" w:cs="宋体"/>
          <w:b/>
          <w:bCs/>
          <w:i w:val="0"/>
          <w:iCs/>
          <w:sz w:val="28"/>
          <w:szCs w:val="28"/>
        </w:rPr>
        <w:t>背景</w:t>
      </w:r>
    </w:p>
    <w:p w14:paraId="615B7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随着经济社会发展与极端高温天气频发，夏季空调负荷在电力系统中的占比持续攀升，导致电网峰谷差不断扩大，给电力平衡与安全运行带来严峻挑战。传统的电源侧调峰手段成本高、周期长，亟需挖掘负荷侧的灵活调节潜力。</w:t>
      </w:r>
    </w:p>
    <w:p w14:paraId="0C3FA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需求响应技术通过价格信号或经济激励，引导用户主动调整用电行为，实现削峰填谷。“预冷+高峰降功率”策略被认为是居民空调领域最具应用前景的需求响应方式之一。该策略的基本思路是：在电力负荷低谷期（如夜间至清晨），利用空调提前降低室内温度，将电能转化为“冷量”储存于建筑围护结构中；在电力负荷高峰期（如傍晚），适当提高空调设定温度或降低运行功率，从而在不显著牺牲用户热舒适度的前提下削减高峰用电。</w:t>
      </w:r>
    </w:p>
    <w:p w14:paraId="01CBC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实际应用中面临诸多挑战：不同用户的建筑热特性、空调性能、舒适度偏好存在显著差异；室外温度预测存在不确定性；用户可能临时退出响应。电网需要在有限的激励预算下实现最优的削峰效果。如何科学评估空调集群的需求响应潜力，并设计合理的调度策略与激励机制，是当前电力需求侧管理领域的重要研究课题。</w:t>
      </w:r>
    </w:p>
    <w:p w14:paraId="09363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</w:p>
    <w:p w14:paraId="5B64C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default" w:ascii="宋体" w:hAnsi="宋体" w:eastAsia="宋体" w:cs="宋体"/>
          <w:b/>
          <w:bCs/>
          <w:i w:val="0"/>
          <w:i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/>
          <w:sz w:val="28"/>
          <w:szCs w:val="28"/>
          <w:lang w:val="en-US" w:eastAsia="zh-CN"/>
        </w:rPr>
        <w:t>二、问题描述</w:t>
      </w:r>
    </w:p>
    <w:p w14:paraId="00E0D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请你们团队结合附件提供的相关数据，建立数学模型解决以下问题。</w:t>
      </w:r>
    </w:p>
    <w:p w14:paraId="6110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ind w:firstLine="482" w:firstLineChars="20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/>
          <w:sz w:val="24"/>
          <w:szCs w:val="24"/>
          <w:lang w:val="en-US" w:eastAsia="zh-CN"/>
        </w:rPr>
        <w:t>任务</w:t>
      </w:r>
      <w:r>
        <w:rPr>
          <w:rFonts w:hint="eastAsia" w:ascii="宋体" w:hAnsi="宋体" w:eastAsia="宋体" w:cs="宋体"/>
          <w:b/>
          <w:bCs/>
          <w:i w:val="0"/>
          <w:iCs/>
          <w:sz w:val="24"/>
          <w:szCs w:val="24"/>
        </w:rPr>
        <w:t>1 单户空调热动态建模与预冷可行性分析</w:t>
      </w:r>
    </w:p>
    <w:p w14:paraId="77513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空调房间的热动态过程可用等效热参数（Equivalent Thermal Parameters, ETP）模型描述。设某典型居民房间的等效热容为 C（单位：kJ/°C），等效热阻为 R（单位：°C/W），室外温度为 T</w:t>
      </w:r>
      <w:r>
        <w:rPr>
          <w:rFonts w:hint="eastAsia" w:ascii="宋体" w:hAnsi="宋体" w:eastAsia="宋体" w:cs="宋体"/>
          <w:i w:val="0"/>
          <w:iCs/>
          <w:sz w:val="24"/>
          <w:szCs w:val="24"/>
          <w:vertAlign w:val="subscript"/>
        </w:rPr>
        <w:t>out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(t)（单位：°C），室内温度为 T</w:t>
      </w:r>
      <w:r>
        <w:rPr>
          <w:rFonts w:hint="eastAsia" w:ascii="宋体" w:hAnsi="宋体" w:eastAsia="宋体" w:cs="宋体"/>
          <w:i w:val="0"/>
          <w:iCs/>
          <w:sz w:val="24"/>
          <w:szCs w:val="24"/>
          <w:vertAlign w:val="subscript"/>
        </w:rPr>
        <w:t>in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(t)（单位：°C），空调制冷功率为 P(t)（单位：kW），空调能效比为 EER（无量纲）。则房间热动态满足以下微分方程：</w:t>
      </w:r>
    </w:p>
    <w:p w14:paraId="73666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b w:val="0"/>
              <w:bCs/>
              <w:i/>
              <w:sz w:val="24"/>
              <w:szCs w:val="24"/>
            </w:rPr>
            <m:t>C</m:t>
          </m:r>
          <m:f>
            <m:fPr>
              <m:ctrlPr>
                <w:rPr>
                  <w:rFonts w:hint="default" w:ascii="Cambria Math" w:hAnsi="Cambria Math" w:eastAsia="宋体" w:cs="Times New Roman"/>
                  <w:b w:val="0"/>
                  <w:bCs/>
                  <w:iCs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/>
                  <w:i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in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b w:val="0"/>
                  <w:bCs/>
                  <w:iCs/>
                  <w:sz w:val="24"/>
                  <w:szCs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/>
                  <w:i/>
                  <w:sz w:val="24"/>
                  <w:szCs w:val="24"/>
                </w:rPr>
                <m:t>dt</m:t>
              </m:r>
              <m:ctrlPr>
                <w:rPr>
                  <w:rFonts w:hint="default" w:ascii="Cambria Math" w:hAnsi="Cambria Math" w:eastAsia="宋体" w:cs="Times New Roman"/>
                  <w:b w:val="0"/>
                  <w:bCs/>
                  <w:iCs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b w:val="0"/>
                  <w:bCs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out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bCs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b w:val="0"/>
                      <w:bCs/>
                      <w:i/>
                      <w:sz w:val="24"/>
                      <w:szCs w:val="24"/>
                    </w:rPr>
                    <m:t>in</m:t>
                  </m:r>
                  <m:ctrlPr>
                    <w:rPr>
                      <w:rFonts w:hint="default" w:ascii="Cambria Math" w:hAnsi="Cambria Math" w:eastAsia="宋体" w:cs="Times New Roman"/>
                      <w:b w:val="0"/>
                      <w:bCs/>
                      <w:iCs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bCs/>
                  <w:i w:val="0"/>
                  <w:sz w:val="24"/>
                  <w:szCs w:val="24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/>
                  <w:i/>
                  <w:sz w:val="24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bCs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b w:val="0"/>
                  <w:bCs/>
                  <w:iCs/>
                  <w:sz w:val="24"/>
                  <w:szCs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/>
                  <w:i/>
                  <w:sz w:val="24"/>
                  <w:szCs w:val="24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b w:val="0"/>
                  <w:bCs/>
                  <w:iCs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/>
              <w:i w:val="0"/>
              <w:sz w:val="24"/>
              <w:szCs w:val="24"/>
            </w:rPr>
            <m:t>−</m:t>
          </m:r>
          <m:r>
            <m:rPr>
              <m:nor/>
            </m:rPr>
            <w:rPr>
              <w:rFonts w:hint="default" w:ascii="Times New Roman" w:hAnsi="Times New Roman" w:eastAsia="宋体" w:cs="Times New Roman"/>
              <w:b w:val="0"/>
              <w:bCs/>
              <w:i/>
              <w:sz w:val="24"/>
              <w:szCs w:val="24"/>
            </w:rPr>
            <m:t>EER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/>
              <w:i w:val="0"/>
              <w:sz w:val="24"/>
              <w:szCs w:val="24"/>
            </w:rPr>
            <m:t>⋅</m:t>
          </m:r>
          <m:r>
            <m:rPr>
              <m:nor/>
            </m:rPr>
            <w:rPr>
              <w:rFonts w:hint="default" w:ascii="Times New Roman" w:hAnsi="Times New Roman" w:eastAsia="宋体" w:cs="Times New Roman"/>
              <w:b w:val="0"/>
              <w:bCs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b w:val="0"/>
              <w:bCs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/>
              <w:i w:val="0"/>
              <w:sz w:val="24"/>
              <w:szCs w:val="24"/>
            </w:rPr>
            <m:t>)</m:t>
          </m:r>
        </m:oMath>
      </m:oMathPara>
    </w:p>
    <w:p w14:paraId="1845A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附件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1中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给出了某夏季典型日的逐时室外温度数据（0:00至23:00）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空调参数统一如附件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所示，其中常规运行设定温度为24°C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附件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给出了用户分类及热参数。</w:t>
      </w:r>
    </w:p>
    <w:p w14:paraId="437FE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：</w:t>
      </w:r>
    </w:p>
    <w:p w14:paraId="1C810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（1）将上述微分方程离散化（建议时间步长 Δt=1 分钟），以B类用户（中保温）为例，在常规运行条件下（设定温度24°C，空调启停控制），计算并绘制24小时的室内温度变化曲线。分析参数C与R对温度响应速度的影响。</w:t>
      </w:r>
    </w:p>
    <w:p w14:paraId="4D88B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（2）设高峰时段为18:00–21:00。要求在高峰时段内同时满足：① 空调平均功率相比常规运行降低30%；② 室内温度始终不超过26°C。若不进行预冷，能否满足上述要求？若允许在高峰开始前进行预冷（可提前0–6小时），请确定最优预冷开始时间、预冷阶段的最低温度（不低于18°C）及预冷阶段的总能耗，并绘制高峰时段的温度变化曲线与功率变化曲线。</w:t>
      </w:r>
    </w:p>
    <w:p w14:paraId="102B6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宋体" w:hAnsi="宋体" w:eastAsia="宋体" w:cs="宋体"/>
          <w:b/>
          <w:bCs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/>
          <w:sz w:val="24"/>
          <w:szCs w:val="24"/>
          <w:lang w:val="en-US" w:eastAsia="zh-CN"/>
        </w:rPr>
        <w:t>任务</w:t>
      </w:r>
      <w:r>
        <w:rPr>
          <w:rFonts w:hint="eastAsia" w:ascii="宋体" w:hAnsi="宋体" w:eastAsia="宋体" w:cs="宋体"/>
          <w:b/>
          <w:bCs/>
          <w:i w:val="0"/>
          <w:iCs/>
          <w:sz w:val="24"/>
          <w:szCs w:val="24"/>
        </w:rPr>
        <w:t>2 空调集群的负荷聚合与优化调度</w:t>
      </w:r>
    </w:p>
    <w:p w14:paraId="6D5FC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某小区共有1000户居民，其建筑热特性与舒适度偏好存在差异，具体分布如附件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/>
          <w:sz w:val="24"/>
          <w:szCs w:val="24"/>
        </w:rPr>
        <w:t>所示。电网在高峰时段（18:00–21:00）要求该小区空调总功率相比常规运行降低500 kW。调度中心可以采取以下两类措施：</w:t>
      </w:r>
    </w:p>
    <w:p w14:paraId="0D8B8DD3">
      <w:pPr>
        <w:pStyle w:val="1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预冷措施：在高峰时段开始前，适当降低各户室内温度，增加“冷量”储存；</w:t>
      </w:r>
    </w:p>
    <w:p w14:paraId="3DCC7F71">
      <w:pPr>
        <w:pStyle w:val="1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高峰调节措施：在高峰时段内，适当提高各户空调设定温度，降低运行功率。</w:t>
      </w:r>
    </w:p>
    <w:p w14:paraId="6941D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设预冷阶段为高峰开始前的若干小时（由优化模型自行决定），高峰时段内设定温度可在舒适上限与27°C之间调节（部分用户允许放宽至27°C，详见附件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）。</w:t>
      </w:r>
    </w:p>
    <w:p w14:paraId="1DDB9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：</w:t>
      </w:r>
    </w:p>
    <w:p w14:paraId="0D8FD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1）以最小化预冷阶段总能耗与用户不适度之和为目标，建立优化调度模型。其中，用户不适度定义为高峰时段内室内温度超出舒适上限的积分。决策变量包括：各户预冷阶段的功率曲线、各户高峰时段的设定温度。约束条件须包括：每户的热动态方程、温度上下限约束、高峰时段总功率削减约束、空调功率限幅约束、设定温度变化率约束（不超过1°C/小时）。</w:t>
      </w:r>
    </w:p>
    <w:p w14:paraId="00C94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2）求解上述优化模型，给出最优调度方案，包括：参与响应的用户数量及类型分布、各类型用户的平均预冷功率与高峰设定温度、预冷阶段总能耗、实际高峰功率削减量。分析三类用户（A类保温好、B类中、C类保温差）在调度中的角色差异。</w:t>
      </w:r>
    </w:p>
    <w:p w14:paraId="1D023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（3）进一步讨论：若目标削减量提高至800 kW，调度方案需要做何调整？</w:t>
      </w:r>
    </w:p>
    <w:p w14:paraId="79575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宋体" w:hAnsi="宋体" w:eastAsia="宋体" w:cs="宋体"/>
          <w:b/>
          <w:bCs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/>
          <w:sz w:val="24"/>
          <w:szCs w:val="24"/>
          <w:lang w:val="en-US" w:eastAsia="zh-CN"/>
        </w:rPr>
        <w:t>任务</w:t>
      </w:r>
      <w:r>
        <w:rPr>
          <w:rFonts w:hint="eastAsia" w:ascii="宋体" w:hAnsi="宋体" w:eastAsia="宋体" w:cs="宋体"/>
          <w:b/>
          <w:bCs/>
          <w:i w:val="0"/>
          <w:iCs/>
          <w:sz w:val="24"/>
          <w:szCs w:val="24"/>
        </w:rPr>
        <w:t>3 考虑不确定性的鲁棒调度策略</w:t>
      </w:r>
    </w:p>
    <w:p w14:paraId="1048D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实际运行中，室外温度预测存在误差，且部分用户可能在高峰时段临时退出响应。设实际室外温度 </w:t>
      </w:r>
    </w:p>
    <w:p w14:paraId="0BFB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out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actual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sup>
          </m:sSubSup>
          <m:d>
            <m:dP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 w:val="0"/>
              <w:i w:val="0"/>
              <w:sz w:val="24"/>
              <w:szCs w:val="24"/>
            </w:rPr>
            <m:t>=</m:t>
          </m:r>
          <m:sSubSup>
            <m:sSubSupP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out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forecast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sup>
          </m:sSubSup>
          <m:d>
            <m:dP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Cs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 w:val="0"/>
              <w:i w:val="0"/>
              <w:sz w:val="24"/>
              <w:szCs w:val="24"/>
            </w:rPr>
            <m:t>+ϵ(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b w:val="0"/>
              <w:bCs w:val="0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bCs w:val="0"/>
              <w:i w:val="0"/>
              <w:sz w:val="24"/>
              <w:szCs w:val="24"/>
            </w:rPr>
            <m:t>)</m:t>
          </m:r>
        </m:oMath>
      </m:oMathPara>
    </w:p>
    <w:p w14:paraId="1FD44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其中 ε(t)∼N(0,1)（单位：°C）；每个用户在高峰时段以5%的概率退出响应（退出后恢复常规运行，即设定温度24°C）。</w:t>
      </w:r>
    </w:p>
    <w:p w14:paraId="2CE67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：</w:t>
      </w:r>
    </w:p>
    <w:p w14:paraId="1F99C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（1）分析上述两种不确定性对高峰时段实际功率削减量的影响。设计一种鲁棒调度策略（如滚动优化、机会约束规划、蒙特卡洛预仿真等），使得实际功率削减量不低于500 kW的概率不小于95%。</w:t>
      </w:r>
    </w:p>
    <w:p w14:paraId="4B0F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20"/>
        <w:textAlignment w:val="auto"/>
        <w:rPr>
          <w:rFonts w:hint="eastAsia" w:ascii="宋体" w:hAnsi="宋体" w:eastAsia="宋体" w:cs="宋体"/>
          <w:i w:val="0"/>
          <w:iCs/>
          <w:sz w:val="24"/>
          <w:szCs w:val="24"/>
        </w:rPr>
      </w:pPr>
      <w:r>
        <w:rPr>
          <w:rFonts w:hint="eastAsia" w:ascii="宋体" w:hAnsi="宋体" w:eastAsia="宋体" w:cs="宋体"/>
          <w:i w:val="0"/>
          <w:iCs/>
          <w:sz w:val="24"/>
          <w:szCs w:val="24"/>
        </w:rPr>
        <w:t>（2）通过蒙特卡洛仿真（不少于1000次）验证所提策略的有效性，给出实际功率削减量的概率分布图。将鲁棒策略与</w:t>
      </w:r>
      <w:r>
        <w:rPr>
          <w:rFonts w:hint="eastAsia" w:ascii="宋体" w:hAnsi="宋体" w:eastAsia="宋体" w:cs="宋体"/>
          <w:i w:val="0"/>
          <w:iCs/>
          <w:sz w:val="24"/>
          <w:szCs w:val="24"/>
          <w:lang w:val="en-US" w:eastAsia="zh-CN"/>
        </w:rPr>
        <w:t>任务</w:t>
      </w:r>
      <w:r>
        <w:rPr>
          <w:rFonts w:hint="eastAsia" w:ascii="宋体" w:hAnsi="宋体" w:eastAsia="宋体" w:cs="宋体"/>
          <w:i w:val="0"/>
          <w:iCs/>
          <w:sz w:val="24"/>
          <w:szCs w:val="24"/>
        </w:rPr>
        <w:t>2中的确定性策略进行对比，分析两者在功率满足率、预冷能耗、用户舒适度等方面的差异。</w:t>
      </w:r>
    </w:p>
    <w:p w14:paraId="20E94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宋体" w:hAnsi="宋体" w:eastAsia="宋体" w:cs="宋体"/>
          <w:b/>
          <w:bCs/>
          <w:i w:val="0"/>
          <w:i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/>
          <w:sz w:val="28"/>
          <w:szCs w:val="28"/>
          <w:lang w:val="en-US" w:eastAsia="zh-CN"/>
        </w:rPr>
        <w:t>三、附件</w:t>
      </w:r>
    </w:p>
    <w:p w14:paraId="31AA9DE5">
      <w:pPr>
        <w:rPr>
          <w:i w:val="0"/>
          <w:iCs/>
          <w:sz w:val="21"/>
          <w:szCs w:val="21"/>
        </w:rPr>
      </w:pPr>
      <w:r>
        <w:rPr>
          <w:i w:val="0"/>
          <w:iCs/>
          <w:sz w:val="21"/>
          <w:szCs w:val="21"/>
        </w:rPr>
        <w:t>附件1 室外温度数据（24小时，逐时）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126"/>
        <w:gridCol w:w="899"/>
        <w:gridCol w:w="1126"/>
      </w:tblGrid>
      <w:tr w14:paraId="1D60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81947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时刻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EB6C0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温度(°C)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5A444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时刻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B873D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温度(°C)</w:t>
            </w:r>
          </w:p>
        </w:tc>
      </w:tr>
      <w:tr w14:paraId="30980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B0305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0:00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F7D40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27.2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5076C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12:00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DA87C9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33.8</w:t>
            </w:r>
          </w:p>
        </w:tc>
      </w:tr>
      <w:tr w14:paraId="3011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600B9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696B7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26.8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0DEB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13:00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C220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34.2</w:t>
            </w:r>
          </w:p>
        </w:tc>
      </w:tr>
      <w:tr w14:paraId="0669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BD29E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BC57A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26.3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39724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14:00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9EDEF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34.5</w:t>
            </w:r>
          </w:p>
        </w:tc>
      </w:tr>
      <w:tr w14:paraId="6210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59791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46E2A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25.9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32EF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15:00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D1D7B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34.3</w:t>
            </w:r>
          </w:p>
        </w:tc>
      </w:tr>
      <w:tr w14:paraId="7288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250D2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4:00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36DE5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25.6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BA95B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16:00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CE69E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33.9</w:t>
            </w:r>
          </w:p>
        </w:tc>
      </w:tr>
      <w:tr w14:paraId="0ECF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6C792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5:00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311DF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25.8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145CB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17:00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F55E9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33.2</w:t>
            </w:r>
          </w:p>
        </w:tc>
      </w:tr>
      <w:tr w14:paraId="1D30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C8DB5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6:00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52A9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26.5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F30BA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18:00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D3BEA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32.4</w:t>
            </w:r>
          </w:p>
        </w:tc>
      </w:tr>
      <w:tr w14:paraId="15D0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9800C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7:00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2488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27.9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4C8F8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19:00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EA3D8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31.5</w:t>
            </w:r>
          </w:p>
        </w:tc>
      </w:tr>
      <w:tr w14:paraId="25FD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55255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8:00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4795E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29.5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F9F8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20:00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26B5F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30.6</w:t>
            </w:r>
          </w:p>
        </w:tc>
      </w:tr>
      <w:tr w14:paraId="2472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61552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9:00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C9B92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31.0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8ED08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21:00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A203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29.8</w:t>
            </w:r>
          </w:p>
        </w:tc>
      </w:tr>
      <w:tr w14:paraId="79EA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096EE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10:00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B015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32.2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EB75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22:00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BD3D4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29.0</w:t>
            </w:r>
          </w:p>
        </w:tc>
      </w:tr>
      <w:tr w14:paraId="3A10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C8487">
            <w:pPr>
              <w:jc w:val="center"/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11:00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4F69A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33.1</w:t>
            </w:r>
          </w:p>
        </w:tc>
        <w:tc>
          <w:tcPr>
            <w:tcW w:w="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53753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23:00</w:t>
            </w:r>
          </w:p>
        </w:tc>
        <w:tc>
          <w:tcPr>
            <w:tcW w:w="1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872FF">
            <w:pPr>
              <w:rPr>
                <w:i w:val="0"/>
                <w:iCs/>
                <w:sz w:val="18"/>
                <w:szCs w:val="18"/>
              </w:rPr>
            </w:pPr>
            <w:r>
              <w:rPr>
                <w:i w:val="0"/>
                <w:iCs/>
                <w:sz w:val="18"/>
                <w:szCs w:val="18"/>
              </w:rPr>
              <w:t>28.2</w:t>
            </w:r>
          </w:p>
        </w:tc>
      </w:tr>
    </w:tbl>
    <w:p w14:paraId="298F13E0">
      <w:pPr>
        <w:rPr>
          <w:i w:val="0"/>
          <w:iCs/>
          <w:sz w:val="21"/>
          <w:szCs w:val="21"/>
        </w:rPr>
      </w:pPr>
    </w:p>
    <w:p w14:paraId="2709170B">
      <w:pPr>
        <w:rPr>
          <w:i w:val="0"/>
          <w:iCs/>
          <w:sz w:val="21"/>
          <w:szCs w:val="21"/>
        </w:rPr>
      </w:pPr>
      <w:r>
        <w:rPr>
          <w:i w:val="0"/>
          <w:iCs/>
          <w:sz w:val="21"/>
          <w:szCs w:val="21"/>
        </w:rPr>
        <w:t>附件2 空调参数（所有用户统一）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3"/>
        <w:gridCol w:w="1328"/>
        <w:gridCol w:w="900"/>
        <w:gridCol w:w="1045"/>
      </w:tblGrid>
      <w:tr w14:paraId="7775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1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5CAF4">
            <w:pPr>
              <w:jc w:val="center"/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7B0D5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7AC13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数值</w:t>
            </w:r>
          </w:p>
        </w:tc>
        <w:tc>
          <w:tcPr>
            <w:tcW w:w="1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46CB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单位</w:t>
            </w:r>
          </w:p>
        </w:tc>
      </w:tr>
      <w:tr w14:paraId="1334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14CF4">
            <w:pPr>
              <w:jc w:val="center"/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额定制冷功率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2268D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P</w:t>
            </w:r>
            <w:r>
              <w:rPr>
                <w:i w:val="0"/>
                <w:iCs/>
                <w:sz w:val="21"/>
                <w:szCs w:val="21"/>
                <w:vertAlign w:val="subscript"/>
              </w:rPr>
              <w:t>rated​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DB714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1.2</w:t>
            </w:r>
          </w:p>
        </w:tc>
        <w:tc>
          <w:tcPr>
            <w:tcW w:w="1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55B85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kW</w:t>
            </w:r>
          </w:p>
        </w:tc>
      </w:tr>
      <w:tr w14:paraId="4C7F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B7852">
            <w:pPr>
              <w:jc w:val="center"/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能效比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3DC12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E892A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3.5</w:t>
            </w:r>
          </w:p>
        </w:tc>
        <w:tc>
          <w:tcPr>
            <w:tcW w:w="1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0D605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无量纲</w:t>
            </w:r>
          </w:p>
        </w:tc>
      </w:tr>
      <w:tr w14:paraId="29DD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0F4CE">
            <w:pPr>
              <w:jc w:val="center"/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最低设定温度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C6B36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T</w:t>
            </w:r>
            <w:r>
              <w:rPr>
                <w:i w:val="0"/>
                <w:iCs/>
                <w:sz w:val="21"/>
                <w:szCs w:val="21"/>
                <w:vertAlign w:val="subscript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9D16F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18</w:t>
            </w:r>
          </w:p>
        </w:tc>
        <w:tc>
          <w:tcPr>
            <w:tcW w:w="1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84487E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°C</w:t>
            </w:r>
          </w:p>
        </w:tc>
      </w:tr>
      <w:tr w14:paraId="62F2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8C8AC">
            <w:pPr>
              <w:jc w:val="center"/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最高设定温度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740C1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T</w:t>
            </w:r>
            <w:r>
              <w:rPr>
                <w:i w:val="0"/>
                <w:iCs/>
                <w:sz w:val="21"/>
                <w:szCs w:val="21"/>
                <w:vertAlign w:val="subscript"/>
              </w:rPr>
              <w:t>max</w:t>
            </w:r>
            <w:r>
              <w:rPr>
                <w:i w:val="0"/>
                <w:iCs/>
                <w:sz w:val="21"/>
                <w:szCs w:val="21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C16E3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30</w:t>
            </w:r>
          </w:p>
        </w:tc>
        <w:tc>
          <w:tcPr>
            <w:tcW w:w="1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6D628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°C</w:t>
            </w:r>
          </w:p>
        </w:tc>
      </w:tr>
      <w:tr w14:paraId="307E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13116">
            <w:pPr>
              <w:jc w:val="center"/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常规运行设定温度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4C880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T</w:t>
            </w:r>
            <w:r>
              <w:rPr>
                <w:i w:val="0"/>
                <w:iCs/>
                <w:sz w:val="21"/>
                <w:szCs w:val="21"/>
                <w:vertAlign w:val="subscript"/>
              </w:rPr>
              <w:t>set,normal</w:t>
            </w:r>
            <w:r>
              <w:rPr>
                <w:i w:val="0"/>
                <w:iCs/>
                <w:sz w:val="21"/>
                <w:szCs w:val="21"/>
              </w:rPr>
              <w:t xml:space="preserve"> 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C901F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24</w:t>
            </w:r>
          </w:p>
        </w:tc>
        <w:tc>
          <w:tcPr>
            <w:tcW w:w="1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1C2E3">
            <w:pPr>
              <w:rPr>
                <w:i w:val="0"/>
                <w:iCs/>
                <w:sz w:val="21"/>
                <w:szCs w:val="21"/>
              </w:rPr>
            </w:pPr>
            <w:r>
              <w:rPr>
                <w:i w:val="0"/>
                <w:iCs/>
                <w:sz w:val="21"/>
                <w:szCs w:val="21"/>
              </w:rPr>
              <w:t>°C</w:t>
            </w:r>
          </w:p>
        </w:tc>
      </w:tr>
    </w:tbl>
    <w:p w14:paraId="1314464F">
      <w:pPr>
        <w:rPr>
          <w:i w:val="0"/>
          <w:iCs/>
          <w:sz w:val="21"/>
          <w:szCs w:val="21"/>
        </w:rPr>
      </w:pPr>
    </w:p>
    <w:p w14:paraId="0A6F825E">
      <w:pPr>
        <w:rPr>
          <w:i w:val="0"/>
          <w:iCs/>
          <w:sz w:val="21"/>
          <w:szCs w:val="21"/>
        </w:rPr>
      </w:pPr>
    </w:p>
    <w:p w14:paraId="7B16EE1B">
      <w:pPr>
        <w:rPr>
          <w:i w:val="0"/>
          <w:iCs/>
          <w:sz w:val="21"/>
          <w:szCs w:val="21"/>
        </w:rPr>
      </w:pPr>
      <w:r>
        <w:rPr>
          <w:i w:val="0"/>
          <w:iCs/>
          <w:sz w:val="21"/>
          <w:szCs w:val="21"/>
        </w:rPr>
        <w:t>附件3 用户分类与分布（共1000户）</w:t>
      </w:r>
    </w:p>
    <w:tbl>
      <w:tblPr>
        <w:tblStyle w:val="9"/>
        <w:tblW w:w="51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9"/>
        <w:gridCol w:w="928"/>
        <w:gridCol w:w="922"/>
        <w:gridCol w:w="1370"/>
        <w:gridCol w:w="1349"/>
        <w:gridCol w:w="1232"/>
        <w:gridCol w:w="1775"/>
      </w:tblGrid>
      <w:tr w14:paraId="2576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9860F">
            <w:pPr>
              <w:jc w:val="center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类型</w:t>
            </w:r>
          </w:p>
        </w:tc>
        <w:tc>
          <w:tcPr>
            <w:tcW w:w="5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8B7DB">
            <w:pPr>
              <w:jc w:val="left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占比</w:t>
            </w:r>
          </w:p>
        </w:tc>
        <w:tc>
          <w:tcPr>
            <w:tcW w:w="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20E31">
            <w:pPr>
              <w:jc w:val="center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户数</w:t>
            </w:r>
          </w:p>
        </w:tc>
        <w:tc>
          <w:tcPr>
            <w:tcW w:w="7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4B190">
            <w:pPr>
              <w:jc w:val="left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热阻</w:t>
            </w:r>
          </w:p>
          <w:p w14:paraId="51377280">
            <w:pPr>
              <w:jc w:val="left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R(°C/W)</w:t>
            </w:r>
          </w:p>
        </w:tc>
        <w:tc>
          <w:tcPr>
            <w:tcW w:w="7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06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热容C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(kJ/°C)</w:t>
            </w:r>
          </w:p>
        </w:tc>
        <w:tc>
          <w:tcPr>
            <w:tcW w:w="6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35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auto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舒适上限Tup​</w:t>
            </w:r>
          </w:p>
        </w:tc>
        <w:tc>
          <w:tcPr>
            <w:tcW w:w="10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F5FAE">
            <w:pPr>
              <w:jc w:val="center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是否可放宽至27°C</w:t>
            </w:r>
          </w:p>
        </w:tc>
      </w:tr>
      <w:tr w14:paraId="6335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EED8E">
            <w:pPr>
              <w:jc w:val="center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保温好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5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C4C69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30%</w:t>
            </w:r>
          </w:p>
        </w:tc>
        <w:tc>
          <w:tcPr>
            <w:tcW w:w="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C1A3B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300</w:t>
            </w:r>
          </w:p>
        </w:tc>
        <w:tc>
          <w:tcPr>
            <w:tcW w:w="7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72B37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0.16</w:t>
            </w:r>
          </w:p>
        </w:tc>
        <w:tc>
          <w:tcPr>
            <w:tcW w:w="7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1B864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550</w:t>
            </w:r>
          </w:p>
        </w:tc>
        <w:tc>
          <w:tcPr>
            <w:tcW w:w="6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BC53F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25°C</w:t>
            </w:r>
          </w:p>
        </w:tc>
        <w:tc>
          <w:tcPr>
            <w:tcW w:w="10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AD188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否</w:t>
            </w:r>
          </w:p>
        </w:tc>
      </w:tr>
      <w:tr w14:paraId="212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122F0">
            <w:pPr>
              <w:jc w:val="center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B（中）</w:t>
            </w:r>
          </w:p>
        </w:tc>
        <w:tc>
          <w:tcPr>
            <w:tcW w:w="5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5FA66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50%</w:t>
            </w:r>
          </w:p>
        </w:tc>
        <w:tc>
          <w:tcPr>
            <w:tcW w:w="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3F125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500</w:t>
            </w:r>
          </w:p>
        </w:tc>
        <w:tc>
          <w:tcPr>
            <w:tcW w:w="7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70D54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0.12</w:t>
            </w:r>
          </w:p>
        </w:tc>
        <w:tc>
          <w:tcPr>
            <w:tcW w:w="7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73725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600</w:t>
            </w:r>
          </w:p>
        </w:tc>
        <w:tc>
          <w:tcPr>
            <w:tcW w:w="6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B4203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26°C</w:t>
            </w:r>
          </w:p>
        </w:tc>
        <w:tc>
          <w:tcPr>
            <w:tcW w:w="10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03013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是（80%愿意）</w:t>
            </w:r>
          </w:p>
        </w:tc>
      </w:tr>
      <w:tr w14:paraId="2A65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7CB18">
            <w:pPr>
              <w:jc w:val="center"/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保温差</w:t>
            </w: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5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70068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20%</w:t>
            </w:r>
          </w:p>
        </w:tc>
        <w:tc>
          <w:tcPr>
            <w:tcW w:w="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76175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200</w:t>
            </w:r>
          </w:p>
        </w:tc>
        <w:tc>
          <w:tcPr>
            <w:tcW w:w="7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2B0E1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0.09</w:t>
            </w:r>
          </w:p>
        </w:tc>
        <w:tc>
          <w:tcPr>
            <w:tcW w:w="7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86674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700</w:t>
            </w:r>
          </w:p>
        </w:tc>
        <w:tc>
          <w:tcPr>
            <w:tcW w:w="6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F4B40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26°C</w:t>
            </w:r>
          </w:p>
        </w:tc>
        <w:tc>
          <w:tcPr>
            <w:tcW w:w="10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6D1A9">
            <w:pP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/>
                <w:sz w:val="21"/>
                <w:szCs w:val="21"/>
              </w:rPr>
              <w:t>是（100%愿意）</w:t>
            </w:r>
          </w:p>
        </w:tc>
      </w:tr>
    </w:tbl>
    <w:p w14:paraId="253AF8D2">
      <w:pPr>
        <w:rPr>
          <w:i w:val="0"/>
          <w:iCs/>
          <w:sz w:val="21"/>
          <w:szCs w:val="21"/>
        </w:rPr>
      </w:pPr>
      <w:r>
        <w:rPr>
          <w:i w:val="0"/>
          <w:iCs/>
          <w:sz w:val="21"/>
          <w:szCs w:val="21"/>
        </w:rPr>
        <w:t>初始室内温度（0:00时刻）：A类26.0°C，B类26.5°C，C类27.0°C。</w:t>
      </w:r>
    </w:p>
    <w:p w14:paraId="5B3D3772">
      <w:pPr>
        <w:spacing w:line="400" w:lineRule="atLeast"/>
        <w:ind w:firstLine="420" w:firstLineChars="200"/>
        <w:rPr>
          <w:i w:val="0"/>
          <w:iCs/>
          <w:sz w:val="21"/>
          <w:szCs w:val="21"/>
        </w:rPr>
      </w:pPr>
      <w:r>
        <w:rPr>
          <w:i w:val="0"/>
          <w:iCs/>
          <w:sz w:val="21"/>
          <w:szCs w:val="21"/>
        </w:rPr>
        <w:t>注：对于B类中“可放宽至27°C”的80%用户，在高峰时段允许温度短暂升至27°C；其余20%的B类用户不允许放宽。C类用户全部允许放宽至27°C。</w:t>
      </w:r>
    </w:p>
    <w:p w14:paraId="72B753D5">
      <w:pPr>
        <w:pStyle w:val="2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E810F8">
      <w:pPr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br w:type="page"/>
      </w:r>
    </w:p>
    <w:p w14:paraId="53EB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B题：智慧城市共享停车位资源调配</w:t>
      </w:r>
    </w:p>
    <w:p w14:paraId="77787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着城市汽车保有量增加，停车难问题日益突出。某市推出“共享停车”平台，允许私人车位主在空闲时段出租车位，同时用户可在线预约。平台需要根据实时供需情况，动态调配车位资源，以最大化车位利用率并减少用户步行距离。附件提供了某区域共享停车位的相关信息以及一批用户请求数据。请基于这些数据，建立数学模型，解决以下问题。</w:t>
      </w:r>
    </w:p>
    <w:p w14:paraId="0B435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313055</wp:posOffset>
            </wp:positionH>
            <wp:positionV relativeFrom="paragraph">
              <wp:posOffset>74295</wp:posOffset>
            </wp:positionV>
            <wp:extent cx="4939665" cy="3281680"/>
            <wp:effectExtent l="0" t="0" r="635" b="7620"/>
            <wp:wrapNone/>
            <wp:docPr id="7018007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00735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23A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45B8A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5916C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2F741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0C2BE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52BB3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35243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08E23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3DDD2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7B050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4B2A7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56274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09C1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2C57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>假设所有车位全天24小时可用（暂不考虑时间约束），平台需要在同一时刻为所有用户分配车位（每个车位最多停一辆车）。建立数学模型，为每个用户分配一个车位（或告知无可用车位），使得被分配的用户数量最大，同时最小化所有被分配用户的步行距离之和（步行距离为车位到目的地的欧氏距离）。给出你们的分配方案，并统计被分配的用户数、平均步行距离以及车位利用率。</w:t>
      </w:r>
    </w:p>
    <w:p w14:paraId="3AEDC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>实际上，每个车位只在特定时段可用，且用户有到达和离开时间约束。考虑时间冲突：用户 j 的停车时段为 [arrival_j,departure_j]，车位 i 的可用时段可能有一个或多个（如 slots.csv 中所示），一个车位同一时间只能服务一个用户。请建立数学模型，在满足时间兼容性的前提下，为尽可能多的用户分配车位，并尽量缩短用户的步行距离。</w:t>
      </w:r>
    </w:p>
    <w:p w14:paraId="4F35F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/>
          <w:sz w:val="24"/>
          <w:szCs w:val="24"/>
        </w:rPr>
        <w:t xml:space="preserve"> 在实际运营中，用户请求是实时到达的，平台需要在线做出决策。假设附件中的500个用户请求按到达时间顺序依次出现（即按照 users.csv 中的到达时间先后顺序处理，同一时刻到达的可按用户ID顺序处理）。平台在每次收到请求时，需要立即决定是否接受（分配一个可用车位）或拒绝，且一旦分配不可更改（不能提前预知未来请求）。请设计一个在线调度算法，并以附件数据为测试集，模拟在线分配过程。评价指标包括：最终服务用户数、平均步行距离以及算法运行效率。将你的在线算法结果与问题2的最优离线结果（或近似最优）进行比较，分析算法的竞争比或性能。</w:t>
      </w:r>
    </w:p>
    <w:p w14:paraId="63701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>基于以上建模和计算，分析该区域共享停车资源的供需匹配情况。例如，哪些时段车位最紧张？用户步行距离的分布如何？对平台运营方（如定价策略、鼓励错时共享）提出至少两条改进建议。</w:t>
      </w:r>
    </w:p>
    <w:p w14:paraId="5DBDC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附件说明</w:t>
      </w:r>
    </w:p>
    <w:p w14:paraId="544B1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spots.csv：车位信息表，包含300个共享车位，字段有：车位ID、X坐标、Y坐标（坐标单位：米，区域范围0-100）。</w:t>
      </w:r>
    </w:p>
    <w:p w14:paraId="5FD8F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slots.csv：车位可用时段表，每个车位可能有1-2个可用时段，字段有：车位ID、开始时间、结束时间（时间采用小时制，例如8.5表示8:30）。</w:t>
      </w:r>
    </w:p>
    <w:p w14:paraId="2285D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users.csv：用户请求表，包含500位用户的请求信息，字段有：用户ID、目的地X、目的地Y、最大步行距离（米）、到达时间、离开时间（用户希望在到达时间之后尽快停车，并在离开时间之前取车）。</w:t>
      </w:r>
    </w:p>
    <w:p w14:paraId="3B0EE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20C00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12ACE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1AEE3B9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</w:p>
    <w:p w14:paraId="7B95C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C 题：事件驱动型股市投资策略构建</w:t>
      </w:r>
    </w:p>
    <w:p w14:paraId="5E8D5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事件驱动型投资是一种通过识别并分析影响资产价格的事件（如产业政策调整、新技术突破、公司行为及附件 1 提及的具体事件案例等），分析事件对宏观、行业及个股的传导逻辑，量化事件对股价的影响，进而构建投资策略的方法。其核心逻辑链为：事件识别 → 关联挖掘 → 影响量化 → 策略生成。传统的事件研究法通过设定事件窗口期、计算异常收益，检验事件对股价的统计显著性影响，并揭示“事件→个股 ”的传导机制。随着人工智能技术的发展，可结合大模型、多模态数据处理、智能体、知识图谱等手段，可在充分、高效地挖掘海量、异构历史数据的基础上，构建自动化的事件识别、关联公司挖掘、投资标的选择和投资策略优化，为投资者提供高效决策支持。</w:t>
      </w:r>
    </w:p>
    <w:p w14:paraId="35B2F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本题要求参赛者建立数学模型，完成从事件感知到策略落地的完整投资决策过程，并在真实市场数据上进行实证验证。</w:t>
      </w:r>
    </w:p>
    <w:p w14:paraId="0F6E8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参赛者需自行从公开渠道获取所需数据(数据查找及下载可参阅附件 2)，包括但不限于：新闻、公告、政策文件、行情、宏观行业数据、社交网络舆情等，完成以下四项任务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0E20E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08238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任务1：事件识别与量化特征提取</w:t>
      </w:r>
    </w:p>
    <w:p w14:paraId="4A2D2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从公开金融市场数据（包括公告、行情、宏观行业数据、社交网络舆情等）中，识别“可能影响股市整体行情或个股差异化行情的事件 ”，完成标准化分类与特征提取。要求：给出事件的规范化定义，包含可量化的核心维度（如事件发生时间、涉及主体类型、舆情热度、新闻发布量、情感倾向等）和定性判断依据。</w:t>
      </w:r>
    </w:p>
    <w:p w14:paraId="38E38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建立一种事件分类体系，可参考多维度分类（如按行业、按政策类型、按公司行为类型等）。为每个事件提取量化特征向量，例如：事件属性、舆情热度、事件强度、影响范围等。分析各特征与股价异常收益之间的相关性，给出统计检验结果。</w:t>
      </w:r>
    </w:p>
    <w:p w14:paraId="33FD2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70829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任务 2：事件关联公司的挖掘</w:t>
      </w:r>
    </w:p>
    <w:p w14:paraId="6FEEF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针对识别出的事件，根据所收集的数据，挖掘与事件存在关联的上市公司，设计关联强度指标，构建量化评价体系、衡量关联的紧密程度，使用知识图谱或关联矩阵等工具构建“事件主体-上市公司 ”的关联图谱，计算关联强度。 选择一个典型事件，展示实现过程。</w:t>
      </w:r>
    </w:p>
    <w:p w14:paraId="236F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72A6F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任务 3：事件影响预测与逻辑链条构建</w:t>
      </w:r>
    </w:p>
    <w:p w14:paraId="34111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用事件研究法或其他数据挖掘方法建立预测模型，量化事件对关联上市公司股价的影响，给出可解释的“事件→个股 ”的传导逻辑链条，并自行设计实验分析所构建的预测模型的性能。</w:t>
      </w:r>
    </w:p>
    <w:p w14:paraId="5A0CF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517CC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任务4：投资策略构建与实证</w:t>
      </w:r>
    </w:p>
    <w:p w14:paraId="7E84D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根据任务 3 建立的预测模型，构建事件驱动的组合投资策略，包括事件的确定、买入标的（股票）选择和资金分配比例。以 2026 年 4 月 8 日至 2026 年 4 月 26 日为时间窗口， 以周为单位进行实证操作：设定初始资金 100000 元，投资决策包含不超过 3 支买入股票的股票代码及资金分配比例，以周二的开盘价买入，以当周周五的收盘价全部卖出，计算并分析投资总收益。</w:t>
      </w:r>
    </w:p>
    <w:p w14:paraId="1A4B9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</w:p>
    <w:p w14:paraId="57E6F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附件说明</w:t>
      </w:r>
    </w:p>
    <w:p w14:paraId="34C87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附件 1 具体事件案例参考.pdf：军工相关领域事件引发的 A 股产业链传导路径、股价表现差异及市场驱动逻辑的参考案例。</w:t>
      </w:r>
    </w:p>
    <w:p w14:paraId="17788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附件 2 金融市场数据下载指南.pdf：数据下载操作指引及使用注意事项。</w:t>
      </w:r>
    </w:p>
    <w:p w14:paraId="45CD0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附件 3 事件分类维度参考.pdf：事件多分类维度，可作为参考划分事件类别。</w:t>
      </w:r>
    </w:p>
    <w:p w14:paraId="05A7C10F">
      <w:pPr>
        <w:spacing w:line="400" w:lineRule="atLeast"/>
        <w:ind w:firstLine="480" w:firstLineChars="200"/>
        <w:rPr>
          <w:rFonts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DC202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7128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7128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24916"/>
    <w:multiLevelType w:val="multilevel"/>
    <w:tmpl w:val="20D24916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8B2"/>
    <w:rsid w:val="00024405"/>
    <w:rsid w:val="000777CE"/>
    <w:rsid w:val="000F189F"/>
    <w:rsid w:val="000F5721"/>
    <w:rsid w:val="001161ED"/>
    <w:rsid w:val="001168D5"/>
    <w:rsid w:val="00125C37"/>
    <w:rsid w:val="00151872"/>
    <w:rsid w:val="001579C3"/>
    <w:rsid w:val="00184537"/>
    <w:rsid w:val="001B4CEF"/>
    <w:rsid w:val="001D3A23"/>
    <w:rsid w:val="001F2914"/>
    <w:rsid w:val="002070CB"/>
    <w:rsid w:val="00213F7C"/>
    <w:rsid w:val="00220FFD"/>
    <w:rsid w:val="00221FC0"/>
    <w:rsid w:val="002306AF"/>
    <w:rsid w:val="002317DE"/>
    <w:rsid w:val="002401D3"/>
    <w:rsid w:val="00243AE0"/>
    <w:rsid w:val="00260DEC"/>
    <w:rsid w:val="002D2994"/>
    <w:rsid w:val="002E0A2B"/>
    <w:rsid w:val="00302789"/>
    <w:rsid w:val="00320C3A"/>
    <w:rsid w:val="00321163"/>
    <w:rsid w:val="00332DDC"/>
    <w:rsid w:val="00333B15"/>
    <w:rsid w:val="00362E37"/>
    <w:rsid w:val="003B06C6"/>
    <w:rsid w:val="003B15D6"/>
    <w:rsid w:val="003C3FA3"/>
    <w:rsid w:val="003C712A"/>
    <w:rsid w:val="003F198F"/>
    <w:rsid w:val="003F5979"/>
    <w:rsid w:val="0040477B"/>
    <w:rsid w:val="00434751"/>
    <w:rsid w:val="0047086F"/>
    <w:rsid w:val="00470CC3"/>
    <w:rsid w:val="004C0014"/>
    <w:rsid w:val="004E0847"/>
    <w:rsid w:val="004E2B75"/>
    <w:rsid w:val="004E3907"/>
    <w:rsid w:val="004F1D5A"/>
    <w:rsid w:val="00503365"/>
    <w:rsid w:val="0050543D"/>
    <w:rsid w:val="0054748F"/>
    <w:rsid w:val="00585B90"/>
    <w:rsid w:val="005A063A"/>
    <w:rsid w:val="005A6BD9"/>
    <w:rsid w:val="005A7DA6"/>
    <w:rsid w:val="005E33C4"/>
    <w:rsid w:val="005F7C7A"/>
    <w:rsid w:val="0061099E"/>
    <w:rsid w:val="00634CF2"/>
    <w:rsid w:val="006357FC"/>
    <w:rsid w:val="006A493F"/>
    <w:rsid w:val="006C1382"/>
    <w:rsid w:val="007163CE"/>
    <w:rsid w:val="00726E03"/>
    <w:rsid w:val="00781D22"/>
    <w:rsid w:val="007C21DA"/>
    <w:rsid w:val="007F33D1"/>
    <w:rsid w:val="00820C79"/>
    <w:rsid w:val="00831F4D"/>
    <w:rsid w:val="0083646F"/>
    <w:rsid w:val="00866D01"/>
    <w:rsid w:val="00883E6E"/>
    <w:rsid w:val="008C0D55"/>
    <w:rsid w:val="008E72E7"/>
    <w:rsid w:val="00903D8A"/>
    <w:rsid w:val="009143EC"/>
    <w:rsid w:val="0091623E"/>
    <w:rsid w:val="009430EE"/>
    <w:rsid w:val="00950D42"/>
    <w:rsid w:val="00951C80"/>
    <w:rsid w:val="00955831"/>
    <w:rsid w:val="009606BF"/>
    <w:rsid w:val="0096663C"/>
    <w:rsid w:val="009708EA"/>
    <w:rsid w:val="00981FEE"/>
    <w:rsid w:val="009B0969"/>
    <w:rsid w:val="009B74E9"/>
    <w:rsid w:val="009F26B3"/>
    <w:rsid w:val="009F3C29"/>
    <w:rsid w:val="00A11392"/>
    <w:rsid w:val="00A31759"/>
    <w:rsid w:val="00A372FE"/>
    <w:rsid w:val="00A63A8E"/>
    <w:rsid w:val="00AA6612"/>
    <w:rsid w:val="00AF6FF6"/>
    <w:rsid w:val="00B03DE2"/>
    <w:rsid w:val="00B20018"/>
    <w:rsid w:val="00B23FA9"/>
    <w:rsid w:val="00B262E1"/>
    <w:rsid w:val="00B46848"/>
    <w:rsid w:val="00B57AB5"/>
    <w:rsid w:val="00B7667F"/>
    <w:rsid w:val="00B93F9F"/>
    <w:rsid w:val="00B963C0"/>
    <w:rsid w:val="00BB5ED3"/>
    <w:rsid w:val="00BC4F4E"/>
    <w:rsid w:val="00BD2F05"/>
    <w:rsid w:val="00BF0EF6"/>
    <w:rsid w:val="00BF4ED7"/>
    <w:rsid w:val="00C023E5"/>
    <w:rsid w:val="00C23E85"/>
    <w:rsid w:val="00C47AB0"/>
    <w:rsid w:val="00C47D6C"/>
    <w:rsid w:val="00C67057"/>
    <w:rsid w:val="00C75597"/>
    <w:rsid w:val="00CB2BA1"/>
    <w:rsid w:val="00CD1C46"/>
    <w:rsid w:val="00CD4DCE"/>
    <w:rsid w:val="00D33E13"/>
    <w:rsid w:val="00D36B8D"/>
    <w:rsid w:val="00D44BA1"/>
    <w:rsid w:val="00D63BE8"/>
    <w:rsid w:val="00D93CB9"/>
    <w:rsid w:val="00DD78B2"/>
    <w:rsid w:val="00DE0DA2"/>
    <w:rsid w:val="00DE47FA"/>
    <w:rsid w:val="00E1309E"/>
    <w:rsid w:val="00E23944"/>
    <w:rsid w:val="00E30874"/>
    <w:rsid w:val="00E3601B"/>
    <w:rsid w:val="00E74BE7"/>
    <w:rsid w:val="00E7603C"/>
    <w:rsid w:val="00E86273"/>
    <w:rsid w:val="00E97089"/>
    <w:rsid w:val="00EC04D0"/>
    <w:rsid w:val="00EE7A4B"/>
    <w:rsid w:val="00EF1E55"/>
    <w:rsid w:val="00F10419"/>
    <w:rsid w:val="00F664A4"/>
    <w:rsid w:val="00FB2EE4"/>
    <w:rsid w:val="00FB62D5"/>
    <w:rsid w:val="00FE5BEA"/>
    <w:rsid w:val="01E81EF6"/>
    <w:rsid w:val="0C016970"/>
    <w:rsid w:val="0ECF491D"/>
    <w:rsid w:val="1357263F"/>
    <w:rsid w:val="1648631A"/>
    <w:rsid w:val="199E2028"/>
    <w:rsid w:val="1BCC4311"/>
    <w:rsid w:val="1C9607FA"/>
    <w:rsid w:val="219914E7"/>
    <w:rsid w:val="24FA503B"/>
    <w:rsid w:val="26106BE1"/>
    <w:rsid w:val="26956923"/>
    <w:rsid w:val="297C78F2"/>
    <w:rsid w:val="2C8B7EE4"/>
    <w:rsid w:val="2F4552CD"/>
    <w:rsid w:val="35CA3BEB"/>
    <w:rsid w:val="37000186"/>
    <w:rsid w:val="38E61B47"/>
    <w:rsid w:val="3A0F2EAC"/>
    <w:rsid w:val="3AE572C5"/>
    <w:rsid w:val="41B062BF"/>
    <w:rsid w:val="42D62911"/>
    <w:rsid w:val="45644531"/>
    <w:rsid w:val="4A455AC1"/>
    <w:rsid w:val="4E6751BB"/>
    <w:rsid w:val="525071E9"/>
    <w:rsid w:val="53C02053"/>
    <w:rsid w:val="54006178"/>
    <w:rsid w:val="56E2080F"/>
    <w:rsid w:val="5F27742B"/>
    <w:rsid w:val="60A24FBB"/>
    <w:rsid w:val="629E6475"/>
    <w:rsid w:val="63035BD9"/>
    <w:rsid w:val="69963BA7"/>
    <w:rsid w:val="6B6F4633"/>
    <w:rsid w:val="6B730158"/>
    <w:rsid w:val="6C1C72EC"/>
    <w:rsid w:val="6FE3114C"/>
    <w:rsid w:val="70DB3924"/>
    <w:rsid w:val="75F66B70"/>
    <w:rsid w:val="779A2A38"/>
    <w:rsid w:val="7DA30408"/>
    <w:rsid w:val="7E46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spacing w:before="480" w:after="120"/>
      <w:outlineLvl w:val="1"/>
    </w:pPr>
    <w:rPr>
      <w:rFonts w:ascii="Arial" w:hAnsi="Arial" w:eastAsia="黑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240" w:after="120"/>
      <w:jc w:val="left"/>
      <w:outlineLvl w:val="2"/>
    </w:pPr>
    <w:rPr>
      <w:rFonts w:ascii="Times New Roman" w:hAnsi="Times New Roman" w:eastAsia="黑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22"/>
    <w:unhideWhenUsed/>
    <w:qFormat/>
    <w:uiPriority w:val="0"/>
    <w:pPr>
      <w:keepNext/>
      <w:keepLines/>
      <w:spacing w:line="360" w:lineRule="auto"/>
      <w:outlineLvl w:val="3"/>
    </w:pPr>
    <w:rPr>
      <w:rFonts w:ascii="Times New Roman" w:hAnsi="Times New Roman" w:eastAsia="宋体" w:cstheme="majorBidi"/>
      <w:bCs/>
      <w:sz w:val="24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18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9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20">
    <w:name w:val="标题 2 Char"/>
    <w:basedOn w:val="11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21">
    <w:name w:val="标题 3 Char"/>
    <w:basedOn w:val="11"/>
    <w:link w:val="4"/>
    <w:qFormat/>
    <w:uiPriority w:val="9"/>
    <w:rPr>
      <w:rFonts w:ascii="Times New Roman" w:hAnsi="Times New Roman" w:eastAsia="黑体" w:cs="Times New Roman"/>
      <w:b/>
      <w:bCs/>
      <w:sz w:val="24"/>
      <w:szCs w:val="32"/>
    </w:rPr>
  </w:style>
  <w:style w:type="character" w:customStyle="1" w:styleId="22">
    <w:name w:val="标题 4 Char"/>
    <w:basedOn w:val="11"/>
    <w:link w:val="5"/>
    <w:qFormat/>
    <w:uiPriority w:val="0"/>
    <w:rPr>
      <w:rFonts w:ascii="Times New Roman" w:hAnsi="Times New Roman" w:eastAsia="宋体" w:cstheme="majorBidi"/>
      <w:bCs/>
      <w:sz w:val="24"/>
      <w:szCs w:val="28"/>
    </w:rPr>
  </w:style>
  <w:style w:type="paragraph" w:customStyle="1" w:styleId="23">
    <w:name w:val="图"/>
    <w:basedOn w:val="1"/>
    <w:link w:val="27"/>
    <w:qFormat/>
    <w:uiPriority w:val="0"/>
    <w:pPr>
      <w:spacing w:line="300" w:lineRule="auto"/>
      <w:ind w:left="3261" w:firstLine="175" w:firstLineChars="175"/>
      <w:jc w:val="center"/>
    </w:pPr>
    <w:rPr>
      <w:rFonts w:ascii="Times New Roman" w:hAnsi="Times New Roman" w:eastAsia="宋体" w:cs="Times New Roman"/>
      <w:szCs w:val="20"/>
      <w:lang w:val="en-GB"/>
    </w:rPr>
  </w:style>
  <w:style w:type="paragraph" w:customStyle="1" w:styleId="24">
    <w:name w:val="Fig"/>
    <w:basedOn w:val="23"/>
    <w:qFormat/>
    <w:uiPriority w:val="0"/>
    <w:pPr>
      <w:ind w:left="2520"/>
    </w:pPr>
  </w:style>
  <w:style w:type="paragraph" w:customStyle="1" w:styleId="25">
    <w:name w:val="表"/>
    <w:basedOn w:val="24"/>
    <w:qFormat/>
    <w:uiPriority w:val="0"/>
    <w:pPr>
      <w:ind w:left="240" w:leftChars="100" w:hanging="420"/>
    </w:pPr>
    <w:rPr>
      <w:b/>
      <w:bCs/>
    </w:rPr>
  </w:style>
  <w:style w:type="paragraph" w:customStyle="1" w:styleId="26">
    <w:name w:val="Table"/>
    <w:basedOn w:val="25"/>
    <w:qFormat/>
    <w:uiPriority w:val="0"/>
    <w:pPr>
      <w:tabs>
        <w:tab w:val="left" w:pos="360"/>
      </w:tabs>
      <w:ind w:left="480" w:leftChars="200"/>
    </w:pPr>
    <w:rPr>
      <w:bCs w:val="0"/>
    </w:rPr>
  </w:style>
  <w:style w:type="character" w:customStyle="1" w:styleId="27">
    <w:name w:val="图 字符"/>
    <w:basedOn w:val="11"/>
    <w:link w:val="23"/>
    <w:qFormat/>
    <w:uiPriority w:val="0"/>
    <w:rPr>
      <w:rFonts w:ascii="Times New Roman" w:hAnsi="Times New Roman" w:eastAsia="宋体" w:cs="Times New Roman"/>
      <w:szCs w:val="20"/>
      <w:lang w:val="en-GB"/>
    </w:rPr>
  </w:style>
  <w:style w:type="paragraph" w:customStyle="1" w:styleId="28">
    <w:name w:val="公式"/>
    <w:basedOn w:val="1"/>
    <w:link w:val="29"/>
    <w:qFormat/>
    <w:uiPriority w:val="0"/>
    <w:pPr>
      <w:tabs>
        <w:tab w:val="center" w:pos="4320"/>
        <w:tab w:val="right" w:pos="8760"/>
      </w:tabs>
      <w:spacing w:line="300" w:lineRule="auto"/>
      <w:ind w:firstLine="200" w:firstLineChars="200"/>
      <w:jc w:val="center"/>
      <w:textAlignment w:val="center"/>
    </w:pPr>
    <w:rPr>
      <w:rFonts w:ascii="Times New Roman" w:hAnsi="Times New Roman" w:eastAsia="宋体" w:cs="Times New Roman"/>
      <w:kern w:val="0"/>
      <w:sz w:val="24"/>
      <w:szCs w:val="20"/>
      <w:lang w:eastAsia="en-US"/>
    </w:rPr>
  </w:style>
  <w:style w:type="character" w:customStyle="1" w:styleId="29">
    <w:name w:val="公式 字符"/>
    <w:basedOn w:val="11"/>
    <w:link w:val="28"/>
    <w:qFormat/>
    <w:uiPriority w:val="0"/>
    <w:rPr>
      <w:rFonts w:ascii="Times New Roman" w:hAnsi="Times New Roman" w:eastAsia="宋体" w:cs="Times New Roman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3823</Words>
  <Characters>4339</Characters>
  <Lines>61</Lines>
  <Paragraphs>17</Paragraphs>
  <TotalTime>12</TotalTime>
  <ScaleCrop>false</ScaleCrop>
  <LinksUpToDate>false</LinksUpToDate>
  <CharactersWithSpaces>4395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2025-04-30T14:33:00Z</dcterms:created>
  <dc:creator>Administrator</dc:creator>
  <cp:lastModifiedBy>gongqu</cp:lastModifiedBy>
  <cp:lastPrinted>2021-04-27T04:28:00Z</cp:lastPrinted>
  <dcterms:modified xsi:type="dcterms:W3CDTF">2026-04-30T08:39:46Z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89AF40EB0AD6430DA0C35BCAB47038FE_13</vt:lpwstr>
  </property>
  <property fmtid="{D5CDD505-2E9C-101B-9397-08002B2CF9AE}" pid="4" name="KSOTemplateDocerSaveRecord">
    <vt:lpwstr>eyJoZGlkIjoiNjIxYTBjNjk1MzZjYzZkZTcyOGUxMDdmYTQ3OGY5M2MiLCJ1c2VySWQiOiI4OTA3OTc3OTAifQ==</vt:lpwstr>
  </property>
</Properties>
</file>