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9awmc0wtq0l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Allergy &amp; Immunology_Team5_Report.docx</w:t>
      </w:r>
    </w:p>
    <w:bookmarkStart w:colFirst="0" w:colLast="0" w:name="bookmark=id.3w4rya7xeur7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Research Documentation</w:t>
      </w:r>
    </w:p>
    <w:bookmarkStart w:colFirst="0" w:colLast="0" w:name="bookmark=id.wd803q1nxns8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Sources Used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PubMed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Allergy Organization (WAO) Reports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Institute of Allergy and Infectious Diseases (NIAID)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guidelines from American Academy of Allergy, Asthma &amp; Immunology (AAAAI)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 Clinic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Centers for Disease Control and Prevention (CDC)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Health Organization (WHO)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Cleveland Clinic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Medscape</w:t>
      </w:r>
    </w:p>
    <w:bookmarkStart w:colFirst="0" w:colLast="0" w:name="bookmark=id.7punm0haf6g5" w:id="3"/>
    <w:bookmarkEnd w:id="3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Terms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“Food allergy management 2020+”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“Primary immunodeficiency diagnosis guidelines”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“Anaphylaxis treatment meta-analysis”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Applied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 years: 2019–2025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 types: Meta-analyses, Systematic Reviews, Guidelines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was sourced from peer-reviewed publications and cross-checked across multiple databases to ensure accuracy and reliability.</w:t>
      </w:r>
    </w:p>
    <w:bookmarkStart w:colFirst="0" w:colLast="0" w:name="bookmark=id.fnqt2rg55nna" w:id="4"/>
    <w:bookmarkEnd w:id="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updated guidelines on some rare immunodeficiencies (e.g., Hyper-IgM syndrome).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data restricted to specific regions (e.g., food allergy prevalence in North America vs. Africa).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Difficulty accessing full-text articles without institutional access.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Variability in diagnostic criteria and antibody testing availability over time affects incidence estimates.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Antibody-negative autoimmune encephalitis cases are heterogeneous and under-recognized, complicating epidemiological clarity.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studies were hospital-based rather than population-based, limiting generalizability.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 differences in autoimmune encephalitis recognition and reporting exist, with fewer data from low- and middle-income countries like Nigeria.</w:t>
      </w:r>
    </w:p>
    <w:bookmarkStart w:colFirst="0" w:colLast="0" w:name="bookmark=id.ix26wcghjq9m" w:id="5"/>
    <w:bookmarkEnd w:id="5"/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Date Accessed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20–June 9, 2025</w:t>
      </w:r>
    </w:p>
    <w:bookmarkStart w:colFirst="0" w:colLast="0" w:name="bookmark=id.uklj8gd4yooz" w:id="6"/>
    <w:bookmarkEnd w:id="6"/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Description of Contents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for diagnosis and treatment of allergic and immunologic disorders.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advancements in immunotherapy and monoclonal antibody use.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Epidemiological data on allergic conditions.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Causes, symptoms, and signs of allergic and immunologic diseases.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Prevention strategies.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Lifestyle modifications and alternative medication options.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 considerations, including challenges in Nigeria (e.g., limited access to diagnostic tools and advanced therapies).</w:t>
      </w:r>
    </w:p>
    <w:bookmarkStart w:colFirst="0" w:colLast="0" w:name="bookmark=id.il3xgl32ijbz" w:id="7"/>
    <w:bookmarkEnd w:id="7"/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2. Disease List &amp; Individual Contributions</w:t>
      </w:r>
    </w:p>
    <w:bookmarkStart w:colFirst="0" w:colLast="0" w:name="bookmark=id.ty2do41faa27" w:id="8"/>
    <w:bookmarkEnd w:id="8"/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Diseases Covered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Allergic Disorders and Hypersensitivity Reactions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 Hypersensitivity: Allergic rhinitis (hay fever), atopic dermatitis (eczema), allergic conjunctivitis, allergic asthma, food allergies, anaphylaxis, urticaria (hives), angioedema, latex allergy, venom allergy, allergic bronchopulmonary aspergillosis.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II Hypersensitivity: Autoimmune hemolytic anemia, Goodpasture syndrome, Hashimoto thyroiditis, hyperacute transplant rejection.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III Hypersensitivity: Serum sickness, rheumatoid arthritis, cryoglobulinemia, hypersensitivity pneumonitis, leukocytoclastic vasculitis.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IV Hypersensitivity: Contact dermatitis, Stevens-Johnson syndrome/toxic epidermal necrolysis (SJS/TEN), drug rash with eosinophilia and systemic symptoms (DRESS), chronic hypersensitivity pneumonitis, tuberculosis immune response, allograft rejection.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Immunodeficiency Disorders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Variable Immunodeficiency (CVID), X-linked Agammaglobulinemia (XLA), Selective Immunoglobulin A Deficiency, Severe Combined Immunodeficiency (SCID), Chronic Granulomatous Disease (CGD), Hyper IgE Syndrome, Wiskott-Aldrich Syndrome, Complement Deficiencies.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Immune-Mediated and Autoimmune Disorders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Autoimmune thyroid diseases (Hashimoto’s thyroiditis, Graves’ disease), systemic lupus erythematosus (SLE), Sjögren’s syndrome, scleroderma, polymyositis/dermatomyositis, vasculitides (e.g., Wegener’s granulomatosis, Churg-Strauss syndrome, Henoch-Schönlein purpura, Kawasaki disease), primary biliary cirrhosis, primary sclerosing cholangitis, pemphigus and pemphigoid, polyendocrine autoimmune syndromes, multiple sclerosis, hereditary angioedema (HAE), Guillain-Barré syndrome, rheumatoid arthritis, celiac disease, myasthenia gravis, autoimmune hepatitis, autoimmune pancreatitis, autoimmune encephalitis.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Respiratory and Pulmonary Allergic/Immunologic Diseases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Asthma (non-allergic), chronic cough related to allergy, bronchopulmonary eosinophilia, allergic fungal sinusitis, aspergilloma.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and Drug Allergies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intolerance, drug allergy and hypersensitivity reactions (including anaphylaxis).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Conditions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Eosinophilic disorders (e.g., eosinophilic esophagitis), recurrent fetal loss related to immune causes, hereditary angioedema and acquired C1-inhibitor deficiency, immunodeficiency secondary to infections (e.g., HIV), screening and management of primary immunodeficiencies, lymphoproliferative disorders with immune dysregulation, paraneoplastic autoimmune syndromes.</w:t>
      </w:r>
    </w:p>
    <w:bookmarkStart w:colFirst="0" w:colLast="0" w:name="bookmark=id.maq0t4dblkds" w:id="9"/>
    <w:bookmarkEnd w:id="9"/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Individual Contributions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Charlham 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Researched allergic disorders (Type I–IV hypersensitivity reactions) and contributed to epidemiological data analysis, focusing on regional prevalence in Nigeria.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b w:val="1"/>
          <w:rtl w:val="0"/>
        </w:rPr>
        <w:t xml:space="preserve">rahmat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Compiled data on primary immunodeficiencies and autoimmune disorders, drafted treatment guidelines, and addressed regional diagnostic challenges.</w:t>
      </w:r>
    </w:p>
    <w:bookmarkStart w:colFirst="0" w:colLast="0" w:name="bookmark=id.ua1wzqce38my" w:id="10"/>
    <w:bookmarkEnd w:id="10"/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3. Submission Details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June 10, 2025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Submit as a Word Document (.docx) to the designated academic or clinical supervisor, formatted for patient standard comprehension.</w:t>
      </w:r>
    </w:p>
    <w:bookmarkStart w:colFirst="0" w:colLast="0" w:name="bookmark=id.kzdouwprwdun" w:id="11"/>
    <w:bookmarkEnd w:id="11"/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File Format and Size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Format: Word Document (.docx)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3.3 MB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3OIAbXXFbA8IlZ4bnUSayiVnQ==">CgMxLjAyD2lkLjlhd21jMHd0cTBsczIPaWQuM3c0cnlhN3hldXI3Mg9pZC53ZDgwM3ExbnhuczgyD2lkLjdwdW5tMGhhZjZnNTIPaWQuZm5xdDJyZzU1bm5hMg9pZC5peDI2d2NnaGpxOW0yD2lkLnVrbGo4Z2Q0eW9vejIPaWQuaWwzeGdsMzJpamJ6Mg9pZC50eTJkbzQxZmFhMjcyD2lkLm1hcTB0NGRibGtkczIPaWQudWExd3pxY2UzOG15Mg9pZC5remRvdXdwcndkdW44AHIhMWtQSml0bkdjRTRYRHBZMEs3Rk4tMTNZcEpYNWxySU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