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bb949b3a9a46d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Расчёт сечения: БНС Ø800</w:t>
      </w:r>
    </w:p>
    <w:p>
      <w:pPr>
        <w:pStyle w:val="Subtitle"/>
      </w:pPr>
      <w:r>
        <w:rPr/>
        <w:t xml:space="preserve">БНС Ø800 · бетон B30 · арматура A500 · 20.10.2026</w:t>
      </w:r>
    </w:p>
    <w:tbl>
      <w:tblPr>
        <w:tblW w:w="5000" w:type="pct"/>
        <w:tblBorders>
          <w:left w:val="single" w:color="337C3B" w:sz="18"/>
        </w:tblBorders>
      </w:tblPr>
      <w:tblGrid>
        <w:gridCol w:w="9600"/>
      </w:tblGrid>
      <w:tr>
        <w:tc>
          <w:tcPr>
            <w:shd w:val="clear" w:fill="EAF3EB"/>
            <w:tcMar>
              <w:top w:w="120" w:type="dxa"/>
              <w:left w:w="160" w:type="dxa"/>
              <w:bottom w:w="120" w:type="dxa"/>
            </w:tcMar>
          </w:tcPr>
          <w:p>
            <w:pPr>
              <w:spacing w:after="40"/>
            </w:pPr>
            <w:r>
              <w:rPr>
                <w:b/>
                <w:color w:val="337C3B"/>
                <w:sz w:val="24"/>
              </w:rPr>
              <w:t xml:space="preserve">Все выполненные проверки удовлетворяются</w:t>
            </w:r>
          </w:p>
          <w:p>
            <w:pPr>
              <w:spacing w:after="0"/>
            </w:pPr>
            <w:r>
              <w:rPr>
                <w:color w:val="263238"/>
              </w:rPr>
              <w:t xml:space="preserve">Определяющая проверка: Q: наклонное сечение (8.56), сочетание «3 (ea: +x, −y) · сейсмика», K = 0,418.</w:t>
            </w:r>
          </w:p>
        </w:tc>
      </w:tr>
    </w:tbl>
    <w:p>
      <w:pPr>
        <w:pStyle w:val="Heading1"/>
      </w:pPr>
      <w:r>
        <w:rPr/>
        <w:t xml:space="preserve">1. Исходные данные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Сечение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круглое, D = 800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 Ø25 A500, As = 5890 мм² (μ = 1,17 %)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Защитный слой до навивки / Ø навивки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 мм / Ø10 A240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Бетон (тяжёлый)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B30: Rb = 17 МПа, Rbt = 1,15 МПа, Rb,ser = 22 МПа, Rbt,ser = 1,75 МПа, Eb = 32500 МПа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Коэффициенты условий работы бетона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γb1 = 0,9 (кратковременные сочетания — 1), γb2 = 1, γb3 = 1, γb5 = 1; к Eb — коэффициент упрочнения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A500: Rs = 435 МПа, Rs,ser = 500 МПа, Es = 200000 МПа; γs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Поперечная арматура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A240: Rsw = 170 МПа; γs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Расчётные сопротивления: γb1 = 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Rb = 15,3 МПа, Rbt = 1,035 МПа, Rs = 435 МПа, Rsw = 170 МПа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Расчётные сопротивления: γb1 = 0,9, сейсмика m_tr = 1,2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Rb = 18,36 МПа, Rbt = 1,242 МПа, Rs = 522 МПа, Rsw = 170 МПа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надёжности γn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 прочности 1, по трещиностойкости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 = 8 м; μ в плоскости Mx 0,7, в плоскости My 0,7: l₀x = 5,6 м, l₀y = 5,6 м; предельная гибкость 200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Случайный эксцентриситет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 СП 63, схема статически неопределимая; ea,x = 26,7 мм, ea,y = 26,7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Влияние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рассчитывается CScore по l₀ и доле длительной нагрузки kдл каждого сочетания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требование: сохранность арматуры; предельная ширина: продолжительное 0,3 мм, непродолжительное 0,4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Поперечная сила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навивка шагом 200 мм, приведённое сечение b = 0,885D, h0 = b − a, a = 85 мм; виток — две ветви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Сейсмика (СП 14.13330)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m_tr: нормальные сечения 1,2, наклонные 1; трещины не проверяются</w:t>
            </w:r>
          </w:p>
        </w:tc>
      </w:tr>
    </w:tbl>
    <w:p>
      <w:pPr>
        <w:spacing w:before="160"/>
        <w:jc w:val="center"/>
      </w:pPr>
      <w:r>
        <w:drawing>
          <wp:inline xmlns:wp="http://schemas.openxmlformats.org/drawingml/2006/wordprocessingDrawing" distT="0" distB="0" distL="0" distR="0">
            <wp:extent cx="4320000" cy="3070800"/>
            <wp:docPr id="1" name="Эскиз с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.png"/>
                    <pic:cNvPicPr/>
                  </pic:nvPicPr>
                  <pic:blipFill>
                    <a:blip xmlns:r="http://schemas.openxmlformats.org/officeDocument/2006/relationships" r:embed="R573a59c0ad6548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te"/>
      </w:pPr>
      <w:r>
        <w:rPr/>
        <w:t xml:space="preserve">Эскиз сечения: точки — продольная арматура, пунктир — ось поперечной арматуры. Положительный Mx растягивает верхнюю грань (y &gt; 0).</w:t>
      </w:r>
    </w:p>
    <w:p>
      <w:pPr>
        <w:pStyle w:val="Heading1"/>
      </w:pPr>
      <w:r>
        <w:rPr/>
        <w:t xml:space="preserve">2. Усилия</w:t>
      </w:r>
    </w:p>
    <w:p>
      <w:pPr>
        <w:pStyle w:val="Note"/>
      </w:pPr>
      <w:r>
        <w:rPr/>
        <w:t xml:space="preserve">Расчётные усилия; знак N: сжатие — минус. Нормативные = расчётные / γf, длительные = kдл × нормативные (для трещин и η).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36"/>
        <w:gridCol w:w="1056"/>
        <w:gridCol w:w="1056"/>
        <w:gridCol w:w="1056"/>
        <w:gridCol w:w="960"/>
        <w:gridCol w:w="768"/>
        <w:gridCol w:w="768"/>
        <w:gridCol w:w="2400"/>
      </w:tblGrid>
      <w:tr>
        <w:trPr>
          <w:tblHeader/>
        </w:trPr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N, кН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Mx, кН·м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My, кН·м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Q, кН</w:t>
            </w:r>
          </w:p>
        </w:tc>
        <w:tc>
          <w:tcPr>
            <w:tcW w:w="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γf</w:t>
            </w:r>
          </w:p>
        </w:tc>
        <w:tc>
          <w:tcPr>
            <w:tcW w:w="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kдл</w:t>
            </w:r>
          </w:p>
        </w:tc>
        <w:tc>
          <w:tcPr>
            <w:tcW w:w="12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-900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-1300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160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сейсмика</w:t>
            </w:r>
          </w:p>
        </w:tc>
      </w:tr>
    </w:tbl>
    <w:p>
      <w:pPr>
        <w:pStyle w:val="Heading1"/>
      </w:pPr>
      <w:r>
        <w:rPr/>
        <w:t xml:space="preserve">3. Результаты проверок</w:t>
      </w:r>
    </w:p>
    <w:p>
      <w:pPr>
        <w:pStyle w:val="Note"/>
      </w:pPr>
      <w:r>
        <w:rPr/>
        <w:t xml:space="preserve">Коэффициент использования — отношение усилия (ширины раскрытия) к предельному; проверка выполнена при K ≤ 1. Показано определяющее сочетание.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840"/>
        <w:gridCol w:w="2880"/>
        <w:gridCol w:w="960"/>
        <w:gridCol w:w="1920"/>
      </w:tblGrid>
      <w:tr>
        <w:trPr>
          <w:tblHeader/>
        </w:trPr>
        <w:tc>
          <w:tcPr>
            <w:tcW w:w="2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Определяющее 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 в плоскости Mx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/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 в плоскости My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/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0,278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0,285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0,070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0,418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</w:tbl>
    <w:p>
      <w:pPr>
        <w:pStyle w:val="Heading1"/>
      </w:pPr>
      <w:r>
        <w:rPr/>
        <w:t xml:space="preserve">4. Проверки по каждому сочетанию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840"/>
        <w:gridCol w:w="2880"/>
        <w:gridCol w:w="960"/>
        <w:gridCol w:w="1920"/>
      </w:tblGrid>
      <w:tr>
        <w:trPr>
          <w:tblHeader/>
        </w:trPr>
        <w:tc>
          <w:tcPr>
            <w:tcW w:w="2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 в плоскости Mx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/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 в плоскости My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/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0,276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Устойчивость, N / Ncr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0,032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0,281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0,052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0,310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0,276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Устойчивость, N / Ncr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0,032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0,281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0,052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0,310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0,186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Устойчивость, N / Ncr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0,020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0,189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0,041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0,241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0,186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Устойчивость, N / Ncr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0,020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0,189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0,041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0,241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0,278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Устойчивость, N / Ncr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0,029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0,285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+y)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0,278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Устойчивость, N / Ncr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+y)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0,029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+y)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0,285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0,070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−y)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0,418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+y)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0,070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(ea: +x, +y) · сейсмика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0,418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при нормативных усилиях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при нормативных усилиях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 · 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</w:tbl>
    <w:p>
      <w:pPr>
        <w:pStyle w:val="Heading1"/>
      </w:pPr>
      <w:r>
        <w:rPr/>
        <w:t xml:space="preserve">5. Примечания</w:t>
      </w:r>
    </w:p>
    <w:p>
      <w:pPr>
        <w:pStyle w:val="Normal"/>
      </w:pPr>
      <w:r>
        <w:rPr/>
        <w:t xml:space="preserve">• Сейсмические сочетания: к расчётным сопротивлениям введён m_tr = 1.2 для нормальных сечений и 1 для наклонных (СП 14.13330 табл. 5.4).</w:t>
      </w:r>
    </w:p>
    <w:p>
      <w:pPr>
        <w:pStyle w:val="Normal"/>
      </w:pPr>
      <w:r>
        <w:rPr/>
        <w:t xml:space="preserve">• Снижение граничной высоты сжатой зоны ξR (СП 14.13330 п. 6.7.2) в нелинейной деформационной модели не применяется: прочность определяется предельными деформациями.</w:t>
      </w:r>
    </w:p>
    <w:p>
      <w:pPr>
        <w:pStyle w:val="Normal"/>
      </w:pPr>
      <w:r>
        <w:rPr/>
        <w:t xml:space="preserve">• Трещиностойкость при сейсмических сочетаниях не проверялась (СП 14.13330 п. 5.18).</w:t>
      </w:r>
    </w:p>
    <w:p>
      <w:pPr>
        <w:pStyle w:val="Normal"/>
      </w:pPr>
      <w:r>
        <w:rPr/>
        <w:t xml:space="preserve">• Прочность, η, трещины и Q вычислены ядром CScore (OpenCS 4ae6aa0, с исправлением φn по изменению № 2 к СП 63). Собственных формул сопротивления программа не содержит.</w:t>
      </w:r>
    </w:p>
    <w:p>
      <w:pPr>
        <w:pStyle w:val="Normal"/>
      </w:pPr>
      <w:r>
        <w:rPr/>
        <w:t xml:space="preserve">• Ширина раскрытия трещин — консервативная оценка по нелинейной деформационной модели (σs,crc при моменте трещинообразования, разделение длительной и полной нагрузки по п. 8.2.6 СП 63). Усилия для трещин берутся без случайного эксцентриситета и η.</w:t>
      </w:r>
    </w:p>
    <w:p>
      <w:pPr>
        <w:pStyle w:val="Normal"/>
      </w:pPr>
      <w:r>
        <w:rPr/>
        <w:t xml:space="preserve">• Q круглого сечения со спиралью проверен по принятой инженерной модели (приведённое сечение ВНИИГС 1984, виток — две ветви); это допущение, а не прямое указание СП 63.</w:t>
      </w:r>
    </w:p>
    <w:p>
      <w:pPr>
        <w:pStyle w:val="Normal"/>
      </w:pPr>
      <w:r>
        <w:rPr/>
        <w:t xml:space="preserve">• Анкеровка, стыки, обрывы стержней и конструктивные требования не проверялись. Результат предварительный: перед выпуском рабочей документации требуется проверка инженером.</w:t>
      </w:r>
    </w:p>
    <w:sectPr>
      <w:pgSz w:w="11906" w:h="16838"/>
      <w:pgMar w:top="1134" w:right="850" w:bottom="1134" w:left="1418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63238"/>
        <w:sz w:val="19"/>
        <w:lang w:val="ru-RU"/>
      </w:rPr>
    </w:rPrDefault>
    <w:pPrDefault>
      <w:pPr>
        <w:spacing w:after="80" w:line="264" w:lineRule="auto"/>
      </w:pPr>
    </w:pPrDefault>
  </w:docDefaults>
  <w:style w:type="paragraph" w:styleId="Normal">
    <w:name w:val="Обычный"/>
    <w:qFormat/>
    <w:rPr/>
  </w:style>
  <w:style w:type="paragraph" w:styleId="Title">
    <w:name w:val="Заголовок"/>
    <w:qFormat/>
    <w:pPr>
      <w:keepNext/>
      <w:spacing w:after="40"/>
    </w:pPr>
    <w:rPr>
      <w:b/>
      <w:color w:val="263238"/>
      <w:sz w:val="34"/>
    </w:rPr>
  </w:style>
  <w:style w:type="paragraph" w:styleId="Subtitle">
    <w:name w:val="Подзаголовок"/>
    <w:qFormat/>
    <w:pPr>
      <w:keepNext/>
      <w:spacing w:after="200"/>
    </w:pPr>
    <w:rPr>
      <w:color w:val="616161"/>
      <w:sz w:val="19"/>
    </w:rPr>
  </w:style>
  <w:style w:type="paragraph" w:styleId="Heading1">
    <w:name w:val="Заголовок 1"/>
    <w:qFormat/>
    <w:pPr>
      <w:keepNext/>
      <w:spacing w:before="280" w:after="100"/>
    </w:pPr>
    <w:rPr>
      <w:b/>
      <w:color w:val="216897"/>
      <w:sz w:val="24"/>
    </w:rPr>
  </w:style>
  <w:style w:type="paragraph" w:styleId="Note">
    <w:name w:val="Пояснение"/>
    <w:qFormat/>
    <w:rPr>
      <w:color w:val="616161"/>
      <w:sz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c22c797945b453d" /><Relationship Type="http://schemas.openxmlformats.org/officeDocument/2006/relationships/image" Target="/media/image.png" Id="R573a59c0ad654837" /></Relationships>
</file>