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37077" w14:textId="19E99583" w:rsidR="004B39CD" w:rsidRPr="00B556C8" w:rsidRDefault="00B556C8" w:rsidP="00B556C8">
      <w:pPr>
        <w:jc w:val="center"/>
      </w:pPr>
      <w:r w:rsidRPr="00B556C8">
        <w:t xml:space="preserve">RAPPORT </w:t>
      </w:r>
      <w:proofErr w:type="spellStart"/>
      <w:r w:rsidRPr="00B556C8">
        <w:t>INTERMéDIAIRE</w:t>
      </w:r>
      <w:proofErr w:type="spellEnd"/>
      <w:r w:rsidRPr="00B556C8">
        <w:t xml:space="preserve"> </w:t>
      </w:r>
      <w:r>
        <w:t>– Analyses de la diversité des sols européens</w:t>
      </w:r>
    </w:p>
    <w:p w14:paraId="43305747" w14:textId="1270E1BB" w:rsidR="00B556C8" w:rsidRDefault="00B556C8" w:rsidP="00B556C8">
      <w:pPr>
        <w:jc w:val="both"/>
      </w:pPr>
      <w:r>
        <w:t xml:space="preserve">Script principal : </w:t>
      </w:r>
      <w:proofErr w:type="spellStart"/>
      <w:r w:rsidRPr="00B556C8">
        <w:rPr>
          <w:color w:val="FF0000"/>
        </w:rPr>
        <w:t>SoilFari_</w:t>
      </w:r>
      <w:proofErr w:type="gramStart"/>
      <w:r w:rsidRPr="00B556C8">
        <w:rPr>
          <w:color w:val="FF0000"/>
        </w:rPr>
        <w:t>script.R</w:t>
      </w:r>
      <w:proofErr w:type="spellEnd"/>
      <w:proofErr w:type="gramEnd"/>
    </w:p>
    <w:p w14:paraId="0F9071C4" w14:textId="0C511D16" w:rsidR="00B556C8" w:rsidRPr="00B556C8" w:rsidRDefault="00B556C8" w:rsidP="00B556C8">
      <w:pPr>
        <w:jc w:val="both"/>
        <w:rPr>
          <w:color w:val="FF0000"/>
          <w:u w:val="single"/>
        </w:rPr>
      </w:pPr>
      <w:r>
        <w:t xml:space="preserve">Script fonctions : </w:t>
      </w:r>
      <w:proofErr w:type="spellStart"/>
      <w:r w:rsidRPr="00B556C8">
        <w:rPr>
          <w:color w:val="FF0000"/>
          <w:u w:val="single"/>
        </w:rPr>
        <w:t>SoilFari_</w:t>
      </w:r>
      <w:proofErr w:type="gramStart"/>
      <w:r w:rsidRPr="00B556C8">
        <w:rPr>
          <w:color w:val="FF0000"/>
          <w:u w:val="single"/>
        </w:rPr>
        <w:t>functions.R</w:t>
      </w:r>
      <w:proofErr w:type="spellEnd"/>
      <w:proofErr w:type="gramEnd"/>
    </w:p>
    <w:p w14:paraId="1F665CE4" w14:textId="15A1AD7C" w:rsidR="00B556C8" w:rsidRDefault="00B556C8" w:rsidP="00B556C8">
      <w:pPr>
        <w:jc w:val="both"/>
        <w:rPr>
          <w:color w:val="4472C4" w:themeColor="accent1"/>
          <w:u w:val="single"/>
          <w:lang w:val="en-US"/>
        </w:rPr>
      </w:pPr>
      <w:r w:rsidRPr="00B556C8">
        <w:rPr>
          <w:lang w:val="en-US"/>
        </w:rPr>
        <w:t xml:space="preserve">Work </w:t>
      </w:r>
      <w:proofErr w:type="gramStart"/>
      <w:r w:rsidRPr="00B556C8">
        <w:rPr>
          <w:lang w:val="en-US"/>
        </w:rPr>
        <w:t>directory :</w:t>
      </w:r>
      <w:proofErr w:type="gramEnd"/>
      <w:r w:rsidRPr="00B556C8">
        <w:rPr>
          <w:lang w:val="en-US"/>
        </w:rPr>
        <w:t xml:space="preserve"> </w:t>
      </w:r>
      <w:proofErr w:type="spellStart"/>
      <w:r w:rsidRPr="00B556C8">
        <w:rPr>
          <w:color w:val="4472C4" w:themeColor="accent1"/>
          <w:u w:val="single"/>
          <w:lang w:val="en-US"/>
        </w:rPr>
        <w:t>setwd</w:t>
      </w:r>
      <w:proofErr w:type="spellEnd"/>
      <w:r w:rsidRPr="00B556C8">
        <w:rPr>
          <w:color w:val="4472C4" w:themeColor="accent1"/>
          <w:u w:val="single"/>
          <w:lang w:val="en-US"/>
        </w:rPr>
        <w:t>('D:/GitHub/AI4SH/4-DataFrames_ready')</w:t>
      </w:r>
    </w:p>
    <w:p w14:paraId="76891D19" w14:textId="0EB44C7D" w:rsidR="00B556C8" w:rsidRDefault="00B556C8" w:rsidP="00B556C8">
      <w:pPr>
        <w:jc w:val="both"/>
        <w:rPr>
          <w:color w:val="4472C4" w:themeColor="accent1"/>
          <w:u w:val="single"/>
          <w:lang w:val="en-US"/>
        </w:rPr>
      </w:pPr>
    </w:p>
    <w:p w14:paraId="35E70C03" w14:textId="06E9498F" w:rsidR="0059078E" w:rsidRPr="0059078E" w:rsidRDefault="0059078E" w:rsidP="00B556C8">
      <w:pPr>
        <w:jc w:val="both"/>
        <w:rPr>
          <w:color w:val="000000" w:themeColor="text1"/>
        </w:rPr>
      </w:pPr>
      <w:r w:rsidRPr="0059078E">
        <w:rPr>
          <w:color w:val="000000" w:themeColor="text1"/>
        </w:rPr>
        <w:t>On a 2 types de</w:t>
      </w:r>
      <w:r>
        <w:rPr>
          <w:color w:val="000000" w:themeColor="text1"/>
        </w:rPr>
        <w:t xml:space="preserve"> tableaux de données : ceux pour les résultats de TSBF et ceux pour les observations faites avec la méthode </w:t>
      </w:r>
      <w:proofErr w:type="spellStart"/>
      <w:r>
        <w:rPr>
          <w:color w:val="000000" w:themeColor="text1"/>
        </w:rPr>
        <w:t>SoilFari</w:t>
      </w:r>
      <w:proofErr w:type="spellEnd"/>
      <w:r>
        <w:rPr>
          <w:color w:val="000000" w:themeColor="text1"/>
        </w:rPr>
        <w:t xml:space="preserve">, enregistrées sur </w:t>
      </w:r>
      <w:proofErr w:type="spellStart"/>
      <w:r>
        <w:rPr>
          <w:color w:val="000000" w:themeColor="text1"/>
        </w:rPr>
        <w:t>iNaturalist</w:t>
      </w:r>
      <w:proofErr w:type="spellEnd"/>
      <w:r>
        <w:rPr>
          <w:color w:val="000000" w:themeColor="text1"/>
        </w:rPr>
        <w:t>.</w:t>
      </w:r>
    </w:p>
    <w:p w14:paraId="5BFF659C" w14:textId="4F3F5920" w:rsidR="00B556C8" w:rsidRDefault="00EE5CC8" w:rsidP="00B556C8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Les 150 </w:t>
      </w:r>
      <w:proofErr w:type="gramStart"/>
      <w:r>
        <w:rPr>
          <w:color w:val="000000" w:themeColor="text1"/>
        </w:rPr>
        <w:t>premières ligne</w:t>
      </w:r>
      <w:proofErr w:type="gramEnd"/>
      <w:r>
        <w:rPr>
          <w:color w:val="000000" w:themeColor="text1"/>
        </w:rPr>
        <w:t xml:space="preserve"> du script principal sont là pour charger les packages, les </w:t>
      </w:r>
      <w:proofErr w:type="spellStart"/>
      <w:r>
        <w:rPr>
          <w:color w:val="000000" w:themeColor="text1"/>
        </w:rPr>
        <w:t>dataframes</w:t>
      </w:r>
      <w:proofErr w:type="spellEnd"/>
      <w:r>
        <w:rPr>
          <w:color w:val="000000" w:themeColor="text1"/>
        </w:rPr>
        <w:t xml:space="preserve"> et process ces derniers notamment grâce au script fonctions.</w:t>
      </w:r>
    </w:p>
    <w:p w14:paraId="4C4AFFEF" w14:textId="625EA564" w:rsidR="00EE5CC8" w:rsidRDefault="00EE5CC8" w:rsidP="00B556C8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On a ensuite quelques plots en barres de la diversité selon les milieux, puis les </w:t>
      </w:r>
      <w:r>
        <w:rPr>
          <w:b/>
          <w:bCs/>
          <w:color w:val="000000" w:themeColor="text1"/>
        </w:rPr>
        <w:t>courbes de raréfaction</w:t>
      </w:r>
      <w:r>
        <w:rPr>
          <w:color w:val="000000" w:themeColor="text1"/>
        </w:rPr>
        <w:t>.</w:t>
      </w:r>
    </w:p>
    <w:p w14:paraId="63FBDB79" w14:textId="1E4CDA95" w:rsidR="00180CAE" w:rsidRDefault="00180CAE" w:rsidP="000A0C12">
      <w:pPr>
        <w:jc w:val="center"/>
        <w:rPr>
          <w:color w:val="000000" w:themeColor="text1"/>
        </w:rPr>
      </w:pPr>
      <w:r>
        <w:rPr>
          <w:color w:val="000000" w:themeColor="text1"/>
        </w:rPr>
        <w:t>Tableau 1. Table</w:t>
      </w:r>
      <w:r w:rsidR="00D5731C">
        <w:rPr>
          <w:color w:val="000000" w:themeColor="text1"/>
        </w:rPr>
        <w:t xml:space="preserve"> </w:t>
      </w:r>
      <w:r w:rsidR="000A0C12">
        <w:rPr>
          <w:color w:val="000000" w:themeColor="text1"/>
        </w:rPr>
        <w:t xml:space="preserve">obtenue via la fonction </w:t>
      </w:r>
      <w:proofErr w:type="spellStart"/>
      <w:r w:rsidR="000A0C12">
        <w:rPr>
          <w:color w:val="000000" w:themeColor="text1"/>
        </w:rPr>
        <w:t>rarecurve</w:t>
      </w:r>
      <w:proofErr w:type="spellEnd"/>
      <w:r w:rsidR="000A0C12">
        <w:rPr>
          <w:color w:val="000000" w:themeColor="text1"/>
        </w:rPr>
        <w:t xml:space="preserve"> avec l’argument </w:t>
      </w:r>
      <w:proofErr w:type="spellStart"/>
      <w:r w:rsidR="000A0C12">
        <w:rPr>
          <w:color w:val="000000" w:themeColor="text1"/>
        </w:rPr>
        <w:t>tidy</w:t>
      </w:r>
      <w:proofErr w:type="spellEnd"/>
      <w:r w:rsidR="000A0C12">
        <w:rPr>
          <w:color w:val="000000" w:themeColor="text1"/>
        </w:rPr>
        <w:t xml:space="preserve">=TRUE, permettant d’en faire un tableau utilisable avec </w:t>
      </w:r>
      <w:proofErr w:type="spellStart"/>
      <w:r w:rsidR="000A0C12">
        <w:rPr>
          <w:color w:val="000000" w:themeColor="text1"/>
        </w:rPr>
        <w:t>ggplot</w:t>
      </w:r>
      <w:proofErr w:type="spellEnd"/>
      <w:r w:rsidR="000A0C12">
        <w:rPr>
          <w:color w:val="000000" w:themeColor="text1"/>
        </w:rPr>
        <w:t>.</w:t>
      </w:r>
    </w:p>
    <w:p w14:paraId="389F2A93" w14:textId="181FED68" w:rsidR="00EE5CC8" w:rsidRDefault="00D5731C" w:rsidP="00180CAE">
      <w:pPr>
        <w:jc w:val="center"/>
        <w:rPr>
          <w:color w:val="000000" w:themeColor="text1"/>
        </w:rPr>
      </w:pPr>
      <w:r w:rsidRPr="00D5731C">
        <w:rPr>
          <w:noProof/>
          <w:color w:val="000000" w:themeColor="text1"/>
        </w:rPr>
        <w:drawing>
          <wp:inline distT="0" distB="0" distL="0" distR="0" wp14:anchorId="01279E21" wp14:editId="67EA071E">
            <wp:extent cx="4143953" cy="1219370"/>
            <wp:effectExtent l="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94A1" w14:textId="056A3EB4" w:rsidR="00D5731C" w:rsidRDefault="00D5731C" w:rsidP="000A0C12">
      <w:pPr>
        <w:jc w:val="both"/>
        <w:rPr>
          <w:color w:val="000000" w:themeColor="text1"/>
        </w:rPr>
      </w:pPr>
    </w:p>
    <w:p w14:paraId="57F4382F" w14:textId="3C493E40" w:rsidR="000A0C12" w:rsidRDefault="000A0C12" w:rsidP="000A0C12">
      <w:pPr>
        <w:jc w:val="both"/>
        <w:rPr>
          <w:color w:val="000000" w:themeColor="text1"/>
        </w:rPr>
      </w:pPr>
      <w:commentRangeStart w:id="0"/>
      <w:r>
        <w:rPr>
          <w:color w:val="000000" w:themeColor="text1"/>
        </w:rPr>
        <w:t xml:space="preserve">Les courbes d’accumulation des espèces en fonction du temps sont dans </w:t>
      </w:r>
      <w:proofErr w:type="gramStart"/>
      <w:r>
        <w:rPr>
          <w:color w:val="000000" w:themeColor="text1"/>
        </w:rPr>
        <w:t>les figure</w:t>
      </w:r>
      <w:proofErr w:type="gramEnd"/>
      <w:r>
        <w:rPr>
          <w:color w:val="000000" w:themeColor="text1"/>
        </w:rPr>
        <w:t xml:space="preserve"> 1 et 2.</w:t>
      </w:r>
      <w:commentRangeEnd w:id="0"/>
      <w:r w:rsidR="00C04EE7">
        <w:rPr>
          <w:rStyle w:val="Marquedecommentaire"/>
        </w:rPr>
        <w:commentReference w:id="0"/>
      </w:r>
    </w:p>
    <w:p w14:paraId="6B732D1E" w14:textId="7684EFB4" w:rsidR="00C04EE7" w:rsidRDefault="00C04EE7" w:rsidP="000A0C12">
      <w:pPr>
        <w:jc w:val="both"/>
        <w:rPr>
          <w:color w:val="000000" w:themeColor="text1"/>
        </w:rPr>
      </w:pPr>
    </w:p>
    <w:p w14:paraId="2E2F29AD" w14:textId="39A81F48" w:rsidR="00180CAE" w:rsidRDefault="00C04EE7" w:rsidP="00180CAE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1C4E19B" wp14:editId="389B639D">
            <wp:extent cx="5760720" cy="348234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E41">
        <w:rPr>
          <w:noProof/>
        </w:rPr>
        <w:drawing>
          <wp:inline distT="0" distB="0" distL="0" distR="0" wp14:anchorId="568C4164" wp14:editId="3CF17405">
            <wp:extent cx="4044396" cy="40386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905" cy="40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9958" w14:textId="40C98026" w:rsidR="00180CAE" w:rsidRDefault="00180CAE" w:rsidP="00180CAE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D460714" wp14:editId="49E71729">
            <wp:extent cx="4572000" cy="4565448"/>
            <wp:effectExtent l="0" t="0" r="0" b="69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4144" cy="456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1EA" w14:textId="77777777" w:rsidR="00180CAE" w:rsidRDefault="00180CAE" w:rsidP="00B556C8">
      <w:pPr>
        <w:jc w:val="both"/>
        <w:rPr>
          <w:color w:val="000000" w:themeColor="text1"/>
        </w:rPr>
      </w:pPr>
    </w:p>
    <w:p w14:paraId="3F23D5E3" w14:textId="77777777" w:rsidR="00180CAE" w:rsidRDefault="00180CAE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217A9F0" w14:textId="766FEEAA" w:rsidR="00307993" w:rsidRPr="00EE5CC8" w:rsidRDefault="00307993" w:rsidP="00B556C8">
      <w:pPr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Enfin, une dernière partie du script s’attache aux analyses de diversité multivariées. Le tableau 1 représente une partie du tableau utilisé pour les analyses, à savoir les taxa observés par chaque personne/transect.</w:t>
      </w:r>
    </w:p>
    <w:p w14:paraId="3E0C4725" w14:textId="25B08710" w:rsidR="00B556C8" w:rsidRDefault="00B556C8" w:rsidP="00B556C8">
      <w:pPr>
        <w:jc w:val="both"/>
      </w:pPr>
      <w:r w:rsidRPr="00B556C8">
        <w:t>Tableau 1. Tableau de contingence</w:t>
      </w:r>
      <w:r>
        <w:t xml:space="preserve"> *taxa* par *observateur / transect id*</w:t>
      </w:r>
    </w:p>
    <w:p w14:paraId="003A4230" w14:textId="6028DF51" w:rsidR="00D2289F" w:rsidRDefault="00D2289F" w:rsidP="00B556C8">
      <w:pPr>
        <w:jc w:val="both"/>
      </w:pPr>
      <w:r w:rsidRPr="00B556C8">
        <w:rPr>
          <w:noProof/>
          <w:lang w:val="en-US"/>
        </w:rPr>
        <w:drawing>
          <wp:inline distT="0" distB="0" distL="0" distR="0" wp14:anchorId="1B0C091C" wp14:editId="21DF27C2">
            <wp:extent cx="5760720" cy="20281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B75A" w14:textId="1A21D31D" w:rsidR="00D2289F" w:rsidRDefault="00D2289F" w:rsidP="00B556C8">
      <w:pPr>
        <w:jc w:val="both"/>
      </w:pPr>
    </w:p>
    <w:p w14:paraId="1EACAE71" w14:textId="61ACF3A6" w:rsidR="00307993" w:rsidRDefault="00307993" w:rsidP="00B556C8">
      <w:pPr>
        <w:jc w:val="both"/>
      </w:pPr>
    </w:p>
    <w:p w14:paraId="45A2DAA1" w14:textId="69260FE2" w:rsidR="00307993" w:rsidRDefault="00307993" w:rsidP="00B556C8">
      <w:pPr>
        <w:jc w:val="both"/>
      </w:pPr>
      <w:r>
        <w:t>A partir de ce tableau,</w:t>
      </w:r>
      <w:r w:rsidR="00E512DB">
        <w:t xml:space="preserve"> on réalise une transformation d’</w:t>
      </w:r>
      <w:proofErr w:type="spellStart"/>
      <w:r w:rsidR="00E512DB">
        <w:t>Hellinger</w:t>
      </w:r>
      <w:proofErr w:type="spellEnd"/>
      <w:r w:rsidR="00E512DB">
        <w:t xml:space="preserve"> via la fonction </w:t>
      </w:r>
      <w:proofErr w:type="spellStart"/>
      <w:proofErr w:type="gramStart"/>
      <w:r w:rsidR="00E512DB">
        <w:t>decostand</w:t>
      </w:r>
      <w:proofErr w:type="spellEnd"/>
      <w:r w:rsidR="00E512DB">
        <w:t>(</w:t>
      </w:r>
      <w:proofErr w:type="gramEnd"/>
      <w:r w:rsidR="00E512DB">
        <w:t>) (</w:t>
      </w:r>
      <w:proofErr w:type="spellStart"/>
      <w:r w:rsidR="00E512DB">
        <w:t>vegan</w:t>
      </w:r>
      <w:proofErr w:type="spellEnd"/>
      <w:r w:rsidR="00E512DB">
        <w:t xml:space="preserve"> package), un centrage / réduction (fonction </w:t>
      </w:r>
      <w:proofErr w:type="spellStart"/>
      <w:r w:rsidR="00E512DB">
        <w:t>scale</w:t>
      </w:r>
      <w:proofErr w:type="spellEnd"/>
      <w:r w:rsidR="00E512DB">
        <w:t>()), puis</w:t>
      </w:r>
      <w:r>
        <w:t xml:space="preserve"> on réalise une ACP, don</w:t>
      </w:r>
      <w:r w:rsidR="00E512DB">
        <w:t>t</w:t>
      </w:r>
      <w:r>
        <w:t xml:space="preserve"> le résumé des dimensions donne le tableau 2.</w:t>
      </w:r>
    </w:p>
    <w:p w14:paraId="430C15E6" w14:textId="5409B408" w:rsidR="00307993" w:rsidRDefault="00307993" w:rsidP="00D5731C">
      <w:pPr>
        <w:jc w:val="center"/>
      </w:pPr>
      <w:r>
        <w:t>Tableau 2. Variabilité expliquée par l’ACP.</w:t>
      </w:r>
    </w:p>
    <w:p w14:paraId="0DDA13D6" w14:textId="0F7082B4" w:rsidR="00307993" w:rsidRDefault="00307993" w:rsidP="00D5731C">
      <w:pPr>
        <w:jc w:val="center"/>
      </w:pPr>
      <w:r w:rsidRPr="00307993">
        <w:rPr>
          <w:noProof/>
        </w:rPr>
        <w:drawing>
          <wp:inline distT="0" distB="0" distL="0" distR="0" wp14:anchorId="67DF37C0" wp14:editId="796AC0B9">
            <wp:extent cx="2257740" cy="1133633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89A2" w14:textId="2F825EF7" w:rsidR="00307993" w:rsidRDefault="00307993" w:rsidP="00B556C8">
      <w:pPr>
        <w:jc w:val="both"/>
      </w:pPr>
      <w:r>
        <w:t>On en tire également le cercle des corrélations pour les différents axes (figure 1.)</w:t>
      </w:r>
    </w:p>
    <w:p w14:paraId="3781EFDD" w14:textId="0EDBCBBA" w:rsidR="00307993" w:rsidRDefault="00307993" w:rsidP="00B556C8">
      <w:pPr>
        <w:jc w:val="both"/>
      </w:pPr>
    </w:p>
    <w:p w14:paraId="21235B44" w14:textId="4668F409" w:rsidR="00307993" w:rsidRPr="00B556C8" w:rsidRDefault="00307993" w:rsidP="0070205F">
      <w:pPr>
        <w:jc w:val="center"/>
      </w:pPr>
      <w:r>
        <w:rPr>
          <w:noProof/>
        </w:rPr>
        <w:lastRenderedPageBreak/>
        <w:drawing>
          <wp:inline distT="0" distB="0" distL="0" distR="0" wp14:anchorId="4366CD25" wp14:editId="760FF1F6">
            <wp:extent cx="5799510" cy="5791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2614" cy="58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AF5C" w14:textId="07481EC6" w:rsidR="00B556C8" w:rsidRDefault="00307993" w:rsidP="00B556C8">
      <w:pPr>
        <w:jc w:val="both"/>
      </w:pPr>
      <w:r w:rsidRPr="00307993">
        <w:t xml:space="preserve">Figure 1. Cercles des </w:t>
      </w:r>
      <w:proofErr w:type="spellStart"/>
      <w:r w:rsidRPr="00307993">
        <w:t>correlations</w:t>
      </w:r>
      <w:proofErr w:type="spellEnd"/>
      <w:r w:rsidRPr="00307993">
        <w:t xml:space="preserve"> pour l</w:t>
      </w:r>
      <w:r>
        <w:t xml:space="preserve">’ACP réalisée sur le tableau 1 (à savoir, les observations via le protocole </w:t>
      </w:r>
      <w:proofErr w:type="spellStart"/>
      <w:r>
        <w:t>SoilFari</w:t>
      </w:r>
      <w:proofErr w:type="spellEnd"/>
      <w:r>
        <w:t>).</w:t>
      </w:r>
    </w:p>
    <w:p w14:paraId="74D136B7" w14:textId="3CD28E78" w:rsidR="000F3D9E" w:rsidRDefault="0070205F" w:rsidP="0070205F">
      <w:pPr>
        <w:jc w:val="center"/>
      </w:pPr>
      <w:r>
        <w:rPr>
          <w:noProof/>
        </w:rPr>
        <w:lastRenderedPageBreak/>
        <w:drawing>
          <wp:inline distT="0" distB="0" distL="0" distR="0" wp14:anchorId="5E6C2536" wp14:editId="05D21459">
            <wp:extent cx="4248150" cy="4242063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2536" cy="425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6A02" w14:textId="0486409E" w:rsidR="0070205F" w:rsidRDefault="0070205F" w:rsidP="0070205F">
      <w:pPr>
        <w:jc w:val="center"/>
      </w:pPr>
      <w:r>
        <w:t xml:space="preserve">Figure 2. Diagramme de Shepard pour l’ACP sur les données de </w:t>
      </w:r>
      <w:proofErr w:type="spellStart"/>
      <w:r>
        <w:t>SoilFari</w:t>
      </w:r>
      <w:proofErr w:type="spellEnd"/>
    </w:p>
    <w:p w14:paraId="7110C11B" w14:textId="2BABADE2" w:rsidR="000F3D9E" w:rsidRDefault="000F3D9E" w:rsidP="00B556C8">
      <w:pPr>
        <w:jc w:val="both"/>
      </w:pPr>
      <w:r>
        <w:rPr>
          <w:b/>
          <w:bCs/>
        </w:rPr>
        <w:t xml:space="preserve">Analyse de </w:t>
      </w:r>
      <w:proofErr w:type="spellStart"/>
      <w:r>
        <w:rPr>
          <w:b/>
          <w:bCs/>
        </w:rPr>
        <w:t>co</w:t>
      </w:r>
      <w:proofErr w:type="spellEnd"/>
      <w:r>
        <w:rPr>
          <w:b/>
          <w:bCs/>
        </w:rPr>
        <w:t>-inertie :</w:t>
      </w:r>
    </w:p>
    <w:p w14:paraId="743A7C8F" w14:textId="5B512BC9" w:rsidR="000F3D9E" w:rsidRDefault="000F3D9E" w:rsidP="00B556C8">
      <w:pPr>
        <w:jc w:val="both"/>
      </w:pPr>
      <w:r>
        <w:t>L’analyse d</w:t>
      </w:r>
      <w:r w:rsidR="00D5731C">
        <w:t>e</w:t>
      </w:r>
      <w:r>
        <w:t xml:space="preserve"> </w:t>
      </w:r>
      <w:proofErr w:type="spellStart"/>
      <w:r>
        <w:t>co</w:t>
      </w:r>
      <w:proofErr w:type="spellEnd"/>
      <w:r>
        <w:t xml:space="preserve">-inertie portant sur 2 tableaux, on va réaliser </w:t>
      </w:r>
      <w:proofErr w:type="gramStart"/>
      <w:r>
        <w:t>une deuxième ACP</w:t>
      </w:r>
      <w:proofErr w:type="gramEnd"/>
      <w:r>
        <w:t>, mais sur les données de TSBF.</w:t>
      </w:r>
    </w:p>
    <w:p w14:paraId="1A5B4E05" w14:textId="5F8A32E3" w:rsidR="001A1EE8" w:rsidRDefault="001A1EE8" w:rsidP="00B556C8">
      <w:pPr>
        <w:jc w:val="both"/>
      </w:pPr>
      <w:r w:rsidRPr="001A1EE8">
        <w:rPr>
          <w:noProof/>
        </w:rPr>
        <w:drawing>
          <wp:anchor distT="0" distB="0" distL="114300" distR="114300" simplePos="0" relativeHeight="251658240" behindDoc="0" locked="0" layoutInCell="1" allowOverlap="1" wp14:anchorId="70A7B552" wp14:editId="0162DEEA">
            <wp:simplePos x="0" y="0"/>
            <wp:positionH relativeFrom="column">
              <wp:posOffset>2595880</wp:posOffset>
            </wp:positionH>
            <wp:positionV relativeFrom="paragraph">
              <wp:posOffset>496570</wp:posOffset>
            </wp:positionV>
            <wp:extent cx="2695575" cy="1133475"/>
            <wp:effectExtent l="0" t="0" r="9525" b="952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vitesse, résumons les données des axes pour le TSBF + diagramme de Shepard : figure 3.</w:t>
      </w:r>
      <w:r w:rsidRPr="001A1EE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F16739" wp14:editId="74AD62F6">
            <wp:extent cx="2305050" cy="2301746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0036" cy="23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5823" w14:textId="03D8E1CA" w:rsidR="001A1EE8" w:rsidRDefault="001A1EE8" w:rsidP="00B556C8">
      <w:pPr>
        <w:jc w:val="both"/>
      </w:pPr>
      <w:r>
        <w:t>Figure 3. Diagramme de Shepard et tableau de synthèse de la variance expliquée par les axes de l’ACP sur les données de TSBF.</w:t>
      </w:r>
    </w:p>
    <w:p w14:paraId="325AA766" w14:textId="5AD4C38D" w:rsidR="001A1EE8" w:rsidRDefault="001A1EE8" w:rsidP="00B556C8">
      <w:pPr>
        <w:jc w:val="both"/>
      </w:pPr>
    </w:p>
    <w:p w14:paraId="2F5EEDB6" w14:textId="77777777" w:rsidR="001A1EE8" w:rsidRPr="000F3D9E" w:rsidRDefault="001A1EE8" w:rsidP="00B556C8">
      <w:pPr>
        <w:jc w:val="both"/>
      </w:pPr>
    </w:p>
    <w:sectPr w:rsidR="001A1EE8" w:rsidRPr="000F3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exis PRETAT" w:date="2026-03-12T14:12:00Z" w:initials="AP">
    <w:p w14:paraId="36D0E36C" w14:textId="6E4BBF2B" w:rsidR="00C04EE7" w:rsidRDefault="00C04EE7">
      <w:pPr>
        <w:pStyle w:val="Commentaire"/>
      </w:pPr>
      <w:r>
        <w:rPr>
          <w:rStyle w:val="Marquedecommentaire"/>
        </w:rPr>
        <w:annotationRef/>
      </w:r>
      <w:r>
        <w:t xml:space="preserve">Peut-être regarder aussi le nombre d’individus </w:t>
      </w:r>
      <w:proofErr w:type="spellStart"/>
      <w:r>
        <w:t>samplés</w:t>
      </w:r>
      <w:proofErr w:type="spellEnd"/>
      <w:r>
        <w:t xml:space="preserve"> en fonction du temps pour estimer l’effort d’échantillonnage.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D0E3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D4838" w16cex:dateUtc="2026-03-12T1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D0E36C" w16cid:durableId="2D5D483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xis PRETAT">
    <w15:presenceInfo w15:providerId="None" w15:userId="Alexis PRETA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C8"/>
    <w:rsid w:val="00087982"/>
    <w:rsid w:val="000A0C12"/>
    <w:rsid w:val="000F3D9E"/>
    <w:rsid w:val="00180CAE"/>
    <w:rsid w:val="001A1EE8"/>
    <w:rsid w:val="00307993"/>
    <w:rsid w:val="00387E41"/>
    <w:rsid w:val="004B39CD"/>
    <w:rsid w:val="0059078E"/>
    <w:rsid w:val="0070205F"/>
    <w:rsid w:val="00A07730"/>
    <w:rsid w:val="00B30C1E"/>
    <w:rsid w:val="00B556C8"/>
    <w:rsid w:val="00C04EE7"/>
    <w:rsid w:val="00C75D60"/>
    <w:rsid w:val="00D2289F"/>
    <w:rsid w:val="00D5731C"/>
    <w:rsid w:val="00E512DB"/>
    <w:rsid w:val="00EA7E22"/>
    <w:rsid w:val="00EE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C8DF0"/>
  <w15:chartTrackingRefBased/>
  <w15:docId w15:val="{63B84968-76CD-4674-A116-C5A7E161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7982"/>
    <w:pPr>
      <w:keepNext/>
      <w:keepLines/>
      <w:spacing w:before="240" w:after="0"/>
      <w:outlineLvl w:val="0"/>
    </w:pPr>
    <w:rPr>
      <w:rFonts w:ascii="Courier New" w:eastAsiaTheme="majorEastAsia" w:hAnsi="Courier New" w:cstheme="majorBidi"/>
      <w:color w:val="7030A0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7982"/>
    <w:rPr>
      <w:rFonts w:ascii="Courier New" w:eastAsiaTheme="majorEastAsia" w:hAnsi="Courier New" w:cstheme="majorBidi"/>
      <w:color w:val="7030A0"/>
      <w:sz w:val="32"/>
      <w:szCs w:val="32"/>
    </w:rPr>
  </w:style>
  <w:style w:type="character" w:styleId="Marquedecommentaire">
    <w:name w:val="annotation reference"/>
    <w:basedOn w:val="Policepardfaut"/>
    <w:uiPriority w:val="99"/>
    <w:semiHidden/>
    <w:unhideWhenUsed/>
    <w:rsid w:val="00C04EE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04EE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04EE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04EE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04E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7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PRETAT</dc:creator>
  <cp:keywords/>
  <dc:description/>
  <cp:lastModifiedBy>Alexis PRETAT</cp:lastModifiedBy>
  <cp:revision>8</cp:revision>
  <cp:lastPrinted>2026-03-11T12:49:00Z</cp:lastPrinted>
  <dcterms:created xsi:type="dcterms:W3CDTF">2026-03-11T09:11:00Z</dcterms:created>
  <dcterms:modified xsi:type="dcterms:W3CDTF">2026-03-12T14:52:00Z</dcterms:modified>
</cp:coreProperties>
</file>