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37077" w14:textId="19E99583" w:rsidR="004B39CD" w:rsidRPr="00B556C8" w:rsidRDefault="00B556C8" w:rsidP="00B556C8">
      <w:pPr>
        <w:jc w:val="center"/>
      </w:pPr>
      <w:r w:rsidRPr="00B556C8">
        <w:t xml:space="preserve">RAPPORT INTERMéDIAIRE </w:t>
      </w:r>
      <w:r>
        <w:t>– Analyses de la diversité des sols européens</w:t>
      </w:r>
    </w:p>
    <w:p w14:paraId="43305747" w14:textId="1270E1BB" w:rsidR="00B556C8" w:rsidRDefault="00B556C8" w:rsidP="00B556C8">
      <w:pPr>
        <w:jc w:val="both"/>
      </w:pPr>
      <w:r>
        <w:t xml:space="preserve">Script principal : </w:t>
      </w:r>
      <w:r w:rsidRPr="00B556C8">
        <w:rPr>
          <w:color w:val="FF0000"/>
        </w:rPr>
        <w:t>SoilFari_script.R</w:t>
      </w:r>
    </w:p>
    <w:p w14:paraId="0F9071C4" w14:textId="0C511D16" w:rsidR="00B556C8" w:rsidRPr="00B556C8" w:rsidRDefault="00B556C8" w:rsidP="00B556C8">
      <w:pPr>
        <w:jc w:val="both"/>
        <w:rPr>
          <w:color w:val="FF0000"/>
          <w:u w:val="single"/>
        </w:rPr>
      </w:pPr>
      <w:r>
        <w:t xml:space="preserve">Script fonctions : </w:t>
      </w:r>
      <w:r w:rsidRPr="00B556C8">
        <w:rPr>
          <w:color w:val="FF0000"/>
          <w:u w:val="single"/>
        </w:rPr>
        <w:t>SoilFari_functions.R</w:t>
      </w:r>
    </w:p>
    <w:p w14:paraId="1F665CE4" w14:textId="15A1AD7C" w:rsidR="00B556C8" w:rsidRDefault="00B556C8" w:rsidP="00B556C8">
      <w:pPr>
        <w:jc w:val="both"/>
        <w:rPr>
          <w:color w:val="4472C4" w:themeColor="accent1"/>
          <w:u w:val="single"/>
          <w:lang w:val="en-US"/>
        </w:rPr>
      </w:pPr>
      <w:r w:rsidRPr="00B556C8">
        <w:rPr>
          <w:lang w:val="en-US"/>
        </w:rPr>
        <w:t xml:space="preserve">Work directory : </w:t>
      </w:r>
      <w:r w:rsidRPr="00B556C8">
        <w:rPr>
          <w:color w:val="4472C4" w:themeColor="accent1"/>
          <w:u w:val="single"/>
          <w:lang w:val="en-US"/>
        </w:rPr>
        <w:t>setwd('D:/GitHub/AI4SH/4-DataFrames_ready')</w:t>
      </w:r>
    </w:p>
    <w:p w14:paraId="76891D19" w14:textId="0EB44C7D" w:rsidR="00B556C8" w:rsidRDefault="00B556C8" w:rsidP="00B556C8">
      <w:pPr>
        <w:jc w:val="both"/>
        <w:rPr>
          <w:color w:val="4472C4" w:themeColor="accent1"/>
          <w:u w:val="single"/>
          <w:lang w:val="en-US"/>
        </w:rPr>
      </w:pPr>
    </w:p>
    <w:p w14:paraId="35E70C03" w14:textId="06E9498F" w:rsidR="0059078E" w:rsidRPr="0059078E" w:rsidRDefault="0059078E" w:rsidP="00B556C8">
      <w:pPr>
        <w:jc w:val="both"/>
        <w:rPr>
          <w:color w:val="000000" w:themeColor="text1"/>
        </w:rPr>
      </w:pPr>
      <w:r w:rsidRPr="0059078E">
        <w:rPr>
          <w:color w:val="000000" w:themeColor="text1"/>
        </w:rPr>
        <w:t>On a 2 types de</w:t>
      </w:r>
      <w:r>
        <w:rPr>
          <w:color w:val="000000" w:themeColor="text1"/>
        </w:rPr>
        <w:t xml:space="preserve"> tableaux de données : ceux pour les résultats de TSBF et ceux pour les observations faites avec la méthode SoilFari, enregistrées sur iNaturalist.</w:t>
      </w:r>
    </w:p>
    <w:p w14:paraId="5BFF659C" w14:textId="4F3F5920" w:rsidR="00B556C8" w:rsidRDefault="00EE5CC8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>Les 150 premières ligne du script principal sont là pour charger les packages, les dataframes et process ces derniers notamment grâce au script fonctions.</w:t>
      </w:r>
    </w:p>
    <w:p w14:paraId="4C4AFFEF" w14:textId="74DF6128" w:rsidR="00EE5CC8" w:rsidRDefault="00EE5CC8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On a ensuite quelques plots en barres de la diversité selon les milieux, puis les </w:t>
      </w:r>
      <w:r>
        <w:rPr>
          <w:b/>
          <w:bCs/>
          <w:color w:val="000000" w:themeColor="text1"/>
        </w:rPr>
        <w:t>courbes de raréfaction</w:t>
      </w:r>
      <w:r>
        <w:rPr>
          <w:color w:val="000000" w:themeColor="text1"/>
        </w:rPr>
        <w:t>.</w:t>
      </w:r>
    </w:p>
    <w:p w14:paraId="389F2A93" w14:textId="58370716" w:rsidR="00EE5CC8" w:rsidRDefault="00EE5CC8" w:rsidP="00B556C8">
      <w:pPr>
        <w:jc w:val="both"/>
        <w:rPr>
          <w:color w:val="000000" w:themeColor="text1"/>
        </w:rPr>
      </w:pPr>
    </w:p>
    <w:p w14:paraId="5217A9F0" w14:textId="46C54CD8" w:rsidR="00307993" w:rsidRPr="00EE5CC8" w:rsidRDefault="00307993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>Enfin, une dernière partie du script s’attache aux analyses de diversité multivariées. Le tableau 1 représente une partie du tableau utilisé pour les analyses, à savoir les taxa observés par chaque personne/transect.</w:t>
      </w:r>
    </w:p>
    <w:p w14:paraId="3E0C4725" w14:textId="25B08710" w:rsidR="00B556C8" w:rsidRDefault="00B556C8" w:rsidP="00B556C8">
      <w:pPr>
        <w:jc w:val="both"/>
      </w:pPr>
      <w:r w:rsidRPr="00B556C8">
        <w:t>Tableau 1. Tableau de contingence</w:t>
      </w:r>
      <w:r>
        <w:t xml:space="preserve"> *taxa* par *observateur / transect id*</w:t>
      </w:r>
    </w:p>
    <w:p w14:paraId="003A4230" w14:textId="6028DF51" w:rsidR="00D2289F" w:rsidRDefault="00D2289F" w:rsidP="00B556C8">
      <w:pPr>
        <w:jc w:val="both"/>
      </w:pPr>
      <w:r w:rsidRPr="00B556C8">
        <w:rPr>
          <w:lang w:val="en-US"/>
        </w:rPr>
        <w:drawing>
          <wp:inline distT="0" distB="0" distL="0" distR="0" wp14:anchorId="1B0C091C" wp14:editId="21DF27C2">
            <wp:extent cx="5760720" cy="20281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B75A" w14:textId="1A21D31D" w:rsidR="00D2289F" w:rsidRDefault="00D2289F" w:rsidP="00B556C8">
      <w:pPr>
        <w:jc w:val="both"/>
      </w:pPr>
    </w:p>
    <w:p w14:paraId="1EACAE71" w14:textId="61ACF3A6" w:rsidR="00307993" w:rsidRDefault="00307993" w:rsidP="00B556C8">
      <w:pPr>
        <w:jc w:val="both"/>
      </w:pPr>
    </w:p>
    <w:p w14:paraId="45A2DAA1" w14:textId="69260FE2" w:rsidR="00307993" w:rsidRDefault="00307993" w:rsidP="00B556C8">
      <w:pPr>
        <w:jc w:val="both"/>
      </w:pPr>
      <w:r>
        <w:t>A partir de ce tableau,</w:t>
      </w:r>
      <w:r w:rsidR="00E512DB">
        <w:t xml:space="preserve"> on réalise une transformation d’Hellinger via la fonction decostand() (vegan package), un centrage / réduction (fonction scale()), puis</w:t>
      </w:r>
      <w:r>
        <w:t xml:space="preserve"> on réalise une ACP, don</w:t>
      </w:r>
      <w:r w:rsidR="00E512DB">
        <w:t>t</w:t>
      </w:r>
      <w:r>
        <w:t xml:space="preserve"> le résumé des dimensions donne le tableau 2.</w:t>
      </w:r>
    </w:p>
    <w:p w14:paraId="430C15E6" w14:textId="20984D4C" w:rsidR="00307993" w:rsidRDefault="00307993" w:rsidP="00B556C8">
      <w:pPr>
        <w:jc w:val="both"/>
      </w:pPr>
      <w:r>
        <w:t xml:space="preserve">Tableau 2. Variabilité expliquée par l’ACP. </w:t>
      </w:r>
    </w:p>
    <w:p w14:paraId="0DDA13D6" w14:textId="0F7082B4" w:rsidR="00307993" w:rsidRDefault="00307993" w:rsidP="00B556C8">
      <w:pPr>
        <w:jc w:val="both"/>
      </w:pPr>
      <w:r w:rsidRPr="00307993">
        <w:drawing>
          <wp:inline distT="0" distB="0" distL="0" distR="0" wp14:anchorId="67DF37C0" wp14:editId="796AC0B9">
            <wp:extent cx="2257740" cy="1133633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89A2" w14:textId="2F825EF7" w:rsidR="00307993" w:rsidRDefault="00307993" w:rsidP="00B556C8">
      <w:pPr>
        <w:jc w:val="both"/>
      </w:pPr>
      <w:r>
        <w:lastRenderedPageBreak/>
        <w:t>On en tire également le cercle des corrélations pour les différents axes (figure 1.)</w:t>
      </w:r>
    </w:p>
    <w:p w14:paraId="3781EFDD" w14:textId="0EDBCBBA" w:rsidR="00307993" w:rsidRDefault="00307993" w:rsidP="00B556C8">
      <w:pPr>
        <w:jc w:val="both"/>
      </w:pPr>
    </w:p>
    <w:p w14:paraId="21235B44" w14:textId="4668F409" w:rsidR="00307993" w:rsidRPr="00B556C8" w:rsidRDefault="00307993" w:rsidP="00B556C8">
      <w:pPr>
        <w:jc w:val="both"/>
      </w:pPr>
      <w:r>
        <w:rPr>
          <w:noProof/>
        </w:rPr>
        <w:drawing>
          <wp:inline distT="0" distB="0" distL="0" distR="0" wp14:anchorId="4366CD25" wp14:editId="27C64C8F">
            <wp:extent cx="5760720" cy="5752465"/>
            <wp:effectExtent l="0" t="0" r="0" b="63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5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4AF5C" w14:textId="3B82799B" w:rsidR="00B556C8" w:rsidRPr="00307993" w:rsidRDefault="00307993" w:rsidP="00B556C8">
      <w:pPr>
        <w:jc w:val="both"/>
      </w:pPr>
      <w:r w:rsidRPr="00307993">
        <w:t>Figure 1. Cercles des correlations pour l</w:t>
      </w:r>
      <w:r>
        <w:t>’ACP réalisée sur le tableau 1 (à savoir, les observations via le protocole SoilFari).</w:t>
      </w:r>
    </w:p>
    <w:sectPr w:rsidR="00B556C8" w:rsidRPr="003079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6C8"/>
    <w:rsid w:val="00087982"/>
    <w:rsid w:val="00307993"/>
    <w:rsid w:val="004B39CD"/>
    <w:rsid w:val="0059078E"/>
    <w:rsid w:val="00B556C8"/>
    <w:rsid w:val="00C75D60"/>
    <w:rsid w:val="00D2289F"/>
    <w:rsid w:val="00E512DB"/>
    <w:rsid w:val="00EE5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C8DF0"/>
  <w15:chartTrackingRefBased/>
  <w15:docId w15:val="{63B84968-76CD-4674-A116-C5A7E1618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87982"/>
    <w:pPr>
      <w:keepNext/>
      <w:keepLines/>
      <w:spacing w:before="240" w:after="0"/>
      <w:outlineLvl w:val="0"/>
    </w:pPr>
    <w:rPr>
      <w:rFonts w:ascii="Courier New" w:eastAsiaTheme="majorEastAsia" w:hAnsi="Courier New" w:cstheme="majorBidi"/>
      <w:color w:val="7030A0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87982"/>
    <w:rPr>
      <w:rFonts w:ascii="Courier New" w:eastAsiaTheme="majorEastAsia" w:hAnsi="Courier New" w:cstheme="majorBidi"/>
      <w:color w:val="7030A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218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PRETAT</dc:creator>
  <cp:keywords/>
  <dc:description/>
  <cp:lastModifiedBy>Alexis PRETAT</cp:lastModifiedBy>
  <cp:revision>2</cp:revision>
  <cp:lastPrinted>2026-03-11T10:15:00Z</cp:lastPrinted>
  <dcterms:created xsi:type="dcterms:W3CDTF">2026-03-11T09:11:00Z</dcterms:created>
  <dcterms:modified xsi:type="dcterms:W3CDTF">2026-03-11T10:17:00Z</dcterms:modified>
</cp:coreProperties>
</file>