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EAS AI Adoption Dashboard</w:t>
      </w:r>
    </w:p>
    <w:p>
      <w:pPr>
        <w:spacing w:after="100"/>
        <w:jc w:val="center"/>
      </w:pPr>
      <w:r>
        <w:rPr>
          <w:rFonts w:ascii="Arial" w:cs="Arial" w:eastAsia="Arial" w:hAnsi="Arial"/>
          <w:b/>
          <w:bCs/>
          <w:color w:val="2C3E50"/>
          <w:sz w:val="40"/>
          <w:szCs w:val="40"/>
        </w:rPr>
        <w:t xml:space="preserve">Enterprise Scaling &amp; Migration Plan</w:t>
      </w:r>
    </w:p>
    <w:p>
      <w:pPr>
        <w:spacing w:after="400"/>
        <w:jc w:val="center"/>
      </w:pPr>
      <w:r>
        <w:rPr>
          <w:rFonts w:ascii="Arial" w:cs="Arial" w:eastAsia="Arial" w:hAnsi="Arial"/>
          <w:color w:val="7F8C8D"/>
          <w:sz w:val="28"/>
          <w:szCs w:val="28"/>
        </w:rPr>
        <w:t xml:space="preserve">From Prototype to 5,000+ Employees</w:t>
      </w:r>
    </w:p>
    <w:p>
      <w:pPr>
        <w:pBdr>
          <w:bottom w:val="single" w:color="1B4F72" w:sz="6" w:space="1"/>
        </w:pBdr>
        <w:jc w:val="center"/>
      </w:pPr>
    </w:p>
    <w:p>
      <w:pPr>
        <w:spacing w:before="400"/>
      </w:pPr>
    </w:p>
    <w:p>
      <w:pPr>
        <w:spacing w:after="100"/>
        <w:jc w:val="center"/>
      </w:pPr>
      <w:r>
        <w:rPr>
          <w:rFonts w:ascii="Arial" w:cs="Arial" w:eastAsia="Arial" w:hAnsi="Arial"/>
          <w:color w:val="7F8C8D"/>
          <w:sz w:val="24"/>
          <w:szCs w:val="24"/>
        </w:rPr>
        <w:t xml:space="preserve">Prepared by: AI &amp; Innovation Team</w:t>
      </w:r>
    </w:p>
    <w:p>
      <w:pPr>
        <w:spacing w:after="100"/>
        <w:jc w:val="center"/>
      </w:pPr>
      <w:r>
        <w:rPr>
          <w:rFonts w:ascii="Arial" w:cs="Arial" w:eastAsia="Arial" w:hAnsi="Arial"/>
          <w:color w:val="7F8C8D"/>
          <w:sz w:val="24"/>
          <w:szCs w:val="24"/>
        </w:rPr>
        <w:t xml:space="preserve">Date: April 13, 2026</w:t>
      </w:r>
    </w:p>
    <w:p>
      <w:pPr>
        <w:jc w:val="center"/>
      </w:pPr>
      <w:r>
        <w:rPr>
          <w:rFonts w:ascii="Arial" w:cs="Arial" w:eastAsia="Arial" w:hAnsi="Arial"/>
          <w:color w:val="7F8C8D"/>
          <w:sz w:val="24"/>
          <w:szCs w:val="24"/>
        </w:rPr>
        <w:t xml:space="preserve">Version: 1.0</w:t>
      </w:r>
    </w:p>
    <w:p>
      <w:pPr>
        <w:spacing w:before="200"/>
        <w:jc w:val="center"/>
      </w:pPr>
      <w:r>
        <w:rPr>
          <w:rFonts w:ascii="Arial" w:cs="Arial" w:eastAsia="Arial" w:hAnsi="Arial"/>
          <w:b/>
          <w:b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The EAS AI Adoption Dashboard has proven successful in tracking AI tool adoption across 6 practices with approximately 120 users. Management has approved a company-wide rollout to 5,000+ employees. This document provides a comprehensive migration plan to scale the platform from its current prototype-grade infrastructure (Supabase Free Tier + GitHub Pages) to enterprise-grade systems capable of handling the full employee base with reliability, security, and performance guarantees.</w:t>
      </w:r>
    </w:p>
    <w:p>
      <w:pPr>
        <w:spacing w:after="200"/>
      </w:pPr>
      <w:r>
        <w:t xml:space="preserve">The plan addresses four critical areas: database and backend infrastructure, frontend hosting and CDN, authentication and security, and the AI-powered features (Edge Functions, chat widget). The recommended approach upgrades Supabase to the Pro/Team tier while migrating frontend hosting to a production CDN — preserving the existing codebase and minimizing rewrite effort.</w:t>
      </w:r>
    </w:p>
    <w:p>
      <w:pPr>
        <w:pStyle w:val="Heading1"/>
      </w:pPr>
      <w:r>
        <w:t xml:space="preserve">2. Current State Analysis</w:t>
      </w:r>
    </w:p>
    <w:p>
      <w:pPr>
        <w:pStyle w:val="Heading2"/>
      </w:pPr>
      <w:r>
        <w:t xml:space="preserve">2.1 Current Architecture</w:t>
      </w:r>
    </w:p>
    <w:p>
      <w:pPr>
        <w:spacing w:after="200"/>
      </w:pPr>
      <w:r>
        <w:t xml:space="preserve">The platform is a vanilla HTML/CSS/JavaScript application with no build step, hosted on GitHub Pages. All backend services run on Supabase Free Tier, including PostgreSQL database, authentication, Row-Level Security policies, and Edge Functions (Deno-based serverless). An Express.js server powers the Claude-based AI chat widget but is currently only running locally.</w:t>
      </w:r>
    </w:p>
    <w:p>
      <w:pPr>
        <w:pStyle w:val="Heading2"/>
      </w:pPr>
      <w:r>
        <w:t xml:space="preserve">2.2 Free Tier Limits vs. Enterprise Requirements</w:t>
      </w:r>
    </w:p>
    <w:p>
      <w:pPr>
        <w:spacing w:after="120"/>
      </w:pPr>
      <w:r>
        <w:t xml:space="preserve">The following table highlights the critical gaps between current free-tier limits and what 5,000+ employees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Resource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Free Tier (Current)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5,000+ Users Need</w:t>
            </w:r>
          </w:p>
        </w:tc>
        <w:tc>
          <w:tcPr>
            <w:tcW w:type="dxa" w:w="2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Risk Level</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Storage</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 MB</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8–50 GB+</w:t>
            </w:r>
          </w:p>
        </w:tc>
        <w:tc>
          <w:tcPr>
            <w:tcW w:type="dxa" w:w="24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CRITICAL</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Concurrent DB Connections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500–1,000+</w:t>
            </w:r>
          </w:p>
        </w:tc>
        <w:tc>
          <w:tcPr>
            <w:tcW w:type="dxa" w:w="24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CRITICAL</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 Email Rate</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4/hour</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Hundreds/hour</w:t>
            </w:r>
          </w:p>
        </w:tc>
        <w:tc>
          <w:tcPr>
            <w:tcW w:type="dxa" w:w="24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CRITICAL</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Edge Function Invocations</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500K/month</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2–5M+/month</w:t>
            </w:r>
          </w:p>
        </w:tc>
        <w:tc>
          <w:tcPr>
            <w:tcW w:type="dxa" w:w="24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Bandwidth (Hosting)</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 GB/month soft cap</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 GB–1 TB/month</w:t>
            </w:r>
          </w:p>
        </w:tc>
        <w:tc>
          <w:tcPr>
            <w:tcW w:type="dxa" w:w="24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Realtime Connections</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200 concurrent</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500–1,000+</w:t>
            </w:r>
          </w:p>
        </w:tc>
        <w:tc>
          <w:tcPr>
            <w:tcW w:type="dxa" w:w="24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Monthly Active Users (Auth)</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50,000 MAU</w:t>
            </w:r>
          </w:p>
        </w:tc>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5,000–8,000 MAU</w:t>
            </w:r>
          </w:p>
        </w:tc>
        <w:tc>
          <w:tcPr>
            <w:tcW w:type="dxa" w:w="2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Storage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GB</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5–20 GB</w:t>
            </w:r>
          </w:p>
        </w:tc>
        <w:tc>
          <w:tcPr>
            <w:tcW w:type="dxa" w:w="24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bl>
    <w:p>
      <w:pPr>
        <w:spacing w:after="200" w:before="200"/>
      </w:pPr>
      <w:r>
        <w:rPr>
          <w:i/>
          <w:iCs/>
          <w:color w:val="E74C3C"/>
        </w:rPr>
        <w:t xml:space="preserve">Three resources will fail immediately on rollout: database storage, concurrent connections, and auth email rate limits. The platform would become unusable within the first week of company-wide deployment.</w:t>
      </w:r>
    </w:p>
    <w:p>
      <w:pPr>
        <w:pStyle w:val="Heading1"/>
      </w:pPr>
      <w:r>
        <w:t xml:space="preserve">3. Recommended Architecture</w:t>
      </w:r>
    </w:p>
    <w:p>
      <w:pPr>
        <w:pStyle w:val="Heading2"/>
      </w:pPr>
      <w:r>
        <w:t xml:space="preserve">3.1 Strategy: Upgrade, Don’t Rebuild</w:t>
      </w:r>
    </w:p>
    <w:p>
      <w:pPr>
        <w:spacing w:after="200"/>
      </w:pPr>
      <w:r>
        <w:t xml:space="preserve">The recommended approach is to upgrade Supabase to Pro or Team tier and migrate frontend hosting to a production-grade CDN. This preserves 95%+ of the existing codebase, minimizes risk, and can be completed in 4–6 weeks. A full platform rewrite (e.g., migrating to AWS/Azure) would take 3–6 months and introduce unnecessary risk for a dashboard application.</w:t>
      </w:r>
    </w:p>
    <w:p>
      <w:pPr>
        <w:pStyle w:val="Heading2"/>
      </w:pPr>
      <w:r>
        <w:t xml:space="preserve">3.2 Infrastructure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Option A: Supabase Pro (Recommended)</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Option B: Supabase Team</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Option C: Self-Hosted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included, scales on usage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 priority support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Self-managed PostgreSQL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Connections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Direct + pooling (Supavisor)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Same + dedicated pooler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PgBouncer self-managed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100K MAU, SMTP configurable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100K MAU + SSO/SAML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Self-managed (Keycloak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Edge Functions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2M+ invocations/month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Same + priority execution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AWS Lambda / Azure Functions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$25/mo + usage (~$75–150/mo)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$599/mo flat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$200–500/mo + ops overhead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Migration Effort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 days (tier upgrade)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 days (tier upgrade)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4–12 weeks (full migration)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Risk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bl>
    <w:p>
      <w:pPr>
        <w:spacing w:after="200" w:before="200"/>
      </w:pPr>
      <w:r>
        <w:rPr>
          <w:b/>
          <w:bCs/>
        </w:rPr>
        <w:t xml:space="preserve">Recommendation: </w:t>
      </w:r>
      <w:r>
        <w:t xml:space="preserve">Start with Supabase Pro ($25/mo base) for the initial rollout. If the company requires SSO/SAML integration with Active Directory or dedicated support SLAs, upgrade to Team ($599/mo). The migration from Pro to Team is seamless and takes minutes.</w:t>
      </w:r>
    </w:p>
    <w:p>
      <w:pPr>
        <w:pStyle w:val="Heading1"/>
      </w:pPr>
      <w:r>
        <w:t xml:space="preserve">4. Frontend Hosting Migration</w:t>
      </w:r>
    </w:p>
    <w:p>
      <w:pPr>
        <w:pStyle w:val="Heading2"/>
      </w:pPr>
      <w:r>
        <w:t xml:space="preserve">4.1 Why GitHub Pages Won’t Scale</w:t>
      </w:r>
    </w:p>
    <w:p>
      <w:pPr>
        <w:spacing w:after="200"/>
      </w:pPr>
      <w:r>
        <w:t xml:space="preserve">GitHub Pages enforces a soft bandwidth cap of 100 GB/month and a repository size limit of 1 GB. With 5,000 employees accessing the dashboard daily (each page load ~2–3 MB with libraries), you could hit 300–450 GB/month of bandwidth. GitHub may throttle or suspend your site. Additionally, GitHub Pages offers no CDN configuration, no custom caching headers, and no WAF protection.</w:t>
      </w:r>
    </w:p>
    <w:p>
      <w:pPr>
        <w:pStyle w:val="Heading2"/>
      </w:pPr>
      <w:r>
        <w:t xml:space="preserve">4.2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Platform</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Cost/Month</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Bandwidth</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CDN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Best For</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Azure Static Web Apps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$9/app</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 GB + $0.20/GB</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Global CDN included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Ejada Azure ecosystem</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Cloudflare Pages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Free (Pro: $20)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Unlimited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Global CDN included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Best value for static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Vercel 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TB included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Global edge network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build step added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AWS S3 + CloudFront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Pay per GB ($0.085)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CloudFront CDN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AWS control</w:t>
            </w:r>
          </w:p>
        </w:tc>
      </w:tr>
    </w:tbl>
    <w:p>
      <w:pPr>
        <w:spacing w:after="200" w:before="200"/>
      </w:pPr>
      <w:r>
        <w:rPr>
          <w:b/>
          <w:bCs/>
        </w:rPr>
        <w:t xml:space="preserve">Recommendation: </w:t>
      </w:r>
      <w:r>
        <w:t xml:space="preserve">If Ejada uses Azure, go with Azure Static Web Apps ($9/mo) — it integrates with Entra ID for SSO. If cost is the priority, Cloudflare Pages offers unlimited bandwidth on the free tier with an enterprise-grade CDN. Both support custom domains, HTTPS, and deploy from GitHub.</w:t>
      </w:r>
    </w:p>
    <w:p>
      <w:pPr>
        <w:pStyle w:val="Heading1"/>
      </w:pPr>
      <w:r>
        <w:t xml:space="preserve">5. Authentication &amp; Security at Scale</w:t>
      </w:r>
    </w:p>
    <w:p>
      <w:pPr>
        <w:pStyle w:val="Heading2"/>
      </w:pPr>
      <w:r>
        <w:t xml:space="preserve">5.1 Current Auth Limitations</w:t>
      </w:r>
    </w:p>
    <w:p>
      <w:pPr>
        <w:spacing w:after="200"/>
      </w:pPr>
      <w:r>
        <w:t xml:space="preserve">The current setup uses Supabase email/password auth with a rate limit of 4 emails per hour on the free tier. For 5,000 employees, this means password reset emails, signup confirmations, and magic links would be completely blocked. Additionally, enterprise companies typically require SSO integration with their corporate identity provider (Active Directory, Okta, etc.).</w:t>
      </w:r>
    </w:p>
    <w:p>
      <w:pPr>
        <w:pStyle w:val="Heading2"/>
      </w:pPr>
      <w:r>
        <w:t xml:space="preserve">5.2 Recommended Auth Upgrades</w:t>
      </w:r>
    </w:p>
    <w:p>
      <w:pPr>
        <w:pStyle w:val="ListParagraph"/>
        <w:numPr>
          <w:ilvl w:val="0"/>
          <w:numId w:val="2"/>
        </w:numPr>
        <w:spacing w:after="80"/>
      </w:pPr>
      <w:r>
        <w:rPr>
          <w:b/>
          <w:bCs/>
        </w:rPr>
        <w:t xml:space="preserve">Custom SMTP Server: </w:t>
      </w:r>
      <w:r>
        <w:t xml:space="preserve">Configure Supabase to use Ejada’s corporate SMTP server (e.g., Exchange/O365). This removes the 4/hour email rate limit entirely and ensures emails come from an @ejada.com address. This is a zero-cost change available on all Supabase tiers.</w:t>
      </w:r>
    </w:p>
    <w:p>
      <w:pPr>
        <w:pStyle w:val="ListParagraph"/>
        <w:numPr>
          <w:ilvl w:val="0"/>
          <w:numId w:val="2"/>
        </w:numPr>
        <w:spacing w:after="80"/>
      </w:pPr>
      <w:r>
        <w:rPr>
          <w:b/>
          <w:bCs/>
        </w:rPr>
        <w:t xml:space="preserve">SSO/SAML Integration: </w:t>
      </w:r>
      <w:r>
        <w:t xml:space="preserve">Available on Supabase Team tier ($599/mo). Employees sign in with their existing corporate credentials — no separate password needed. This is the recommended approach for 5,000+ users as it eliminates password management overhead entirely.</w:t>
      </w:r>
    </w:p>
    <w:p>
      <w:pPr>
        <w:pStyle w:val="ListParagraph"/>
        <w:numPr>
          <w:ilvl w:val="0"/>
          <w:numId w:val="2"/>
        </w:numPr>
        <w:spacing w:after="200"/>
      </w:pPr>
      <w:r>
        <w:rPr>
          <w:b/>
          <w:bCs/>
        </w:rPr>
        <w:t xml:space="preserve">Role Auto-Assignment: </w:t>
      </w:r>
      <w:r>
        <w:t xml:space="preserve">Implement an RPC function that auto-assigns roles based on department/practice from the corporate directory. This eliminates manual user provisioning by admins.</w:t>
      </w:r>
    </w:p>
    <w:p>
      <w:pPr>
        <w:pStyle w:val="Heading1"/>
      </w:pPr>
      <w:r>
        <w:t xml:space="preserve">6. AI Features Scaling</w:t>
      </w:r>
    </w:p>
    <w:p>
      <w:pPr>
        <w:pStyle w:val="Heading2"/>
      </w:pPr>
      <w:r>
        <w:t xml:space="preserve">6.1 Edge Functions</w:t>
      </w:r>
    </w:p>
    <w:p>
      <w:pPr>
        <w:spacing w:after="200"/>
      </w:pPr>
      <w:r>
        <w:t xml:space="preserve">The AI suggestion and validation Edge Functions (ai-suggestions, ai-validate) call OpenAI GPT-4. At 5,000 users, expect 2–5 million invocations/month. Supabase Pro includes ample compute for this volume. However, the OpenAI API costs will scale linearly. Budget approximately $50–200/month for OpenAI API calls depending on usage patterns. Consider implementing caching for common suggestions and rate-limiting per user to control costs.</w:t>
      </w:r>
    </w:p>
    <w:p>
      <w:pPr>
        <w:pStyle w:val="Heading2"/>
      </w:pPr>
      <w:r>
        <w:t xml:space="preserve">6.2 Chat Widget (Adoption Agent)</w:t>
      </w:r>
    </w:p>
    <w:p>
      <w:pPr>
        <w:spacing w:after="200"/>
      </w:pPr>
      <w:r>
        <w:t xml:space="preserve">The Claude-powered chat widget currently runs on a local Express.js server — this must be deployed to production. Two options: (1) Deploy as a Supabase Edge Function (recommended, zero additional hosting cost), or (2) Deploy to a cloud VM or container service (Azure App Service, AWS ECS). The Anthropic API costs for Claude will be approximately $100–400/month at scale depending on chat volume.</w:t>
      </w:r>
    </w:p>
    <w:p>
      <w:pPr>
        <w:pStyle w:val="Heading1"/>
      </w:pPr>
      <w:r>
        <w:t xml:space="preserve">7. Cost Analysis</w:t>
      </w:r>
    </w:p>
    <w:p>
      <w:pPr>
        <w:pStyle w:val="Heading2"/>
      </w:pPr>
      <w:r>
        <w:t xml:space="preserve">7.1 Current vs. Projected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Current (Free)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 Tier (5K users)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Team Tier (5K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Supabase (DB + Auth + Functions)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$25 + ~$50–125 usage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$599 flat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 (GitHub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$9–20 (Azure/CF)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$9–20 (Azure/CF)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OpenAI API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 (minimal 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Anthropic API (Chat Widget)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 (local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$100–400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$100–400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 SMTP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 (use corporate)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 (use corporate)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ESTIMATED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$0/month</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$184–$745/month</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$758–$1,219/month</w:t>
            </w:r>
          </w:p>
        </w:tc>
      </w:tr>
    </w:tbl>
    <w:p>
      <w:pPr>
        <w:spacing w:after="200" w:before="200"/>
      </w:pPr>
      <w:r>
        <w:rPr>
          <w:b/>
          <w:bCs/>
        </w:rPr>
        <w:t xml:space="preserve">Per-employee cost: </w:t>
      </w:r>
      <w:r>
        <w:t xml:space="preserve">At the Pro tier, the total cost works out to approximately $0.04–$0.15 per employee per month — extremely cost-effective for an enterprise internal tool. Even at the Team tier with SSO, it’s roughly $0.15–$0.25 per employee per month.</w:t>
      </w:r>
    </w:p>
    <w:p>
      <w:r>
        <w:br w:type="page"/>
      </w:r>
    </w:p>
    <w:p>
      <w:pPr>
        <w:pStyle w:val="Heading1"/>
      </w:pPr>
      <w:r>
        <w:t xml:space="preserve">8. Migration Phases &amp; Timeline</w:t>
      </w:r>
    </w:p>
    <w:p>
      <w:pPr>
        <w:spacing w:after="200"/>
      </w:pPr>
      <w:r>
        <w:t xml:space="preserve">The migration is divided into 4 phases over 4–6 weeks. Each phase can be completed independently and includes rollback procedures.</w:t>
      </w:r>
    </w:p>
    <w:p>
      <w:pPr>
        <w:pStyle w:val="Heading2"/>
      </w:pPr>
      <w:r>
        <w:t xml:space="preserve">Phase 1: Supabase Tier Upgrade (Week 1)</w:t>
      </w:r>
    </w:p>
    <w:p>
      <w:pPr>
        <w:spacing w:after="80"/>
      </w:pPr>
      <w:r>
        <w:rPr>
          <w:b/>
          <w:bCs/>
        </w:rPr>
        <w:t xml:space="preserve">Duration: </w:t>
      </w:r>
      <w:r>
        <w:t xml:space="preserve">1–2 days</w:t>
      </w:r>
    </w:p>
    <w:p>
      <w:pPr>
        <w:spacing w:after="80"/>
      </w:pPr>
      <w:r>
        <w:rPr>
          <w:b/>
          <w:bCs/>
        </w:rPr>
        <w:t xml:space="preserve">Risk: </w:t>
      </w:r>
      <w:r>
        <w:t xml:space="preserve">Low — no code changes required</w:t>
      </w:r>
    </w:p>
    <w:p>
      <w:pPr>
        <w:spacing w:after="80"/>
      </w:pPr>
      <w:r>
        <w:rPr>
          <w:b/>
          <w:bCs/>
        </w:rPr>
        <w:t xml:space="preserve">Downtime: </w:t>
      </w:r>
      <w:r>
        <w:t xml:space="preserve">Zero</w:t>
      </w:r>
    </w:p>
    <w:p>
      <w:pPr>
        <w:pStyle w:val="ListParagraph"/>
        <w:numPr>
          <w:ilvl w:val="0"/>
          <w:numId w:val="3"/>
        </w:numPr>
        <w:spacing w:after="60"/>
      </w:pPr>
      <w:r>
        <w:t xml:space="preserve">Upgrade Supabase project from Free to Pro ($25/mo) via the dashboard</w:t>
      </w:r>
    </w:p>
    <w:p>
      <w:pPr>
        <w:pStyle w:val="ListParagraph"/>
        <w:numPr>
          <w:ilvl w:val="0"/>
          <w:numId w:val="3"/>
        </w:numPr>
        <w:spacing w:after="60"/>
      </w:pPr>
      <w:r>
        <w:t xml:space="preserve">Enable connection pooling (Supavisor) for 500+ concurrent connections</w:t>
      </w:r>
    </w:p>
    <w:p>
      <w:pPr>
        <w:pStyle w:val="ListParagraph"/>
        <w:numPr>
          <w:ilvl w:val="0"/>
          <w:numId w:val="3"/>
        </w:numPr>
        <w:spacing w:after="60"/>
      </w:pPr>
      <w:r>
        <w:t xml:space="preserve">Configure custom SMTP with Ejada’s corporate email server</w:t>
      </w:r>
    </w:p>
    <w:p>
      <w:pPr>
        <w:pStyle w:val="ListParagraph"/>
        <w:numPr>
          <w:ilvl w:val="0"/>
          <w:numId w:val="3"/>
        </w:numPr>
        <w:spacing w:after="60"/>
      </w:pPr>
      <w:r>
        <w:t xml:space="preserve">Enable Point-in-Time Recovery (PITR) for database backups</w:t>
      </w:r>
    </w:p>
    <w:p>
      <w:pPr>
        <w:pStyle w:val="ListParagraph"/>
        <w:numPr>
          <w:ilvl w:val="0"/>
          <w:numId w:val="3"/>
        </w:numPr>
        <w:spacing w:after="200"/>
      </w:pPr>
      <w:r>
        <w:t xml:space="preserve">Set up spend alerts and usage monitoring</w:t>
      </w:r>
    </w:p>
    <w:p>
      <w:pPr>
        <w:pStyle w:val="Heading2"/>
      </w:pPr>
      <w:r>
        <w:t xml:space="preserve">Phase 2: Frontend Hosting Migration (Weeks 1–2)</w:t>
      </w:r>
    </w:p>
    <w:p>
      <w:pPr>
        <w:spacing w:after="80"/>
      </w:pPr>
      <w:r>
        <w:rPr>
          <w:b/>
          <w:bCs/>
        </w:rPr>
        <w:t xml:space="preserve">Duration: </w:t>
      </w:r>
      <w:r>
        <w:t xml:space="preserve">3–5 days</w:t>
      </w:r>
    </w:p>
    <w:p>
      <w:pPr>
        <w:spacing w:after="80"/>
      </w:pPr>
      <w:r>
        <w:rPr>
          <w:b/>
          <w:bCs/>
        </w:rPr>
        <w:t xml:space="preserve">Risk: </w:t>
      </w:r>
      <w:r>
        <w:t xml:space="preserve">Low — static files, easy rollback</w:t>
      </w:r>
    </w:p>
    <w:p>
      <w:pPr>
        <w:spacing w:after="80"/>
      </w:pPr>
      <w:r>
        <w:rPr>
          <w:b/>
          <w:bCs/>
        </w:rPr>
        <w:t xml:space="preserve">Downtime: </w:t>
      </w:r>
      <w:r>
        <w:t xml:space="preserve">Zero (parallel deployment)</w:t>
      </w:r>
    </w:p>
    <w:p>
      <w:pPr>
        <w:pStyle w:val="ListParagraph"/>
        <w:numPr>
          <w:ilvl w:val="0"/>
          <w:numId w:val="3"/>
        </w:numPr>
        <w:spacing w:after="60"/>
      </w:pPr>
      <w:r>
        <w:t xml:space="preserve">Set up Azure Static Web Apps or Cloudflare Pages project</w:t>
      </w:r>
    </w:p>
    <w:p>
      <w:pPr>
        <w:pStyle w:val="ListParagraph"/>
        <w:numPr>
          <w:ilvl w:val="0"/>
          <w:numId w:val="3"/>
        </w:numPr>
        <w:spacing w:after="60"/>
      </w:pPr>
      <w:r>
        <w:t xml:space="preserve">Configure GitHub Actions CI/CD pipeline for automatic deployments</w:t>
      </w:r>
    </w:p>
    <w:p>
      <w:pPr>
        <w:pStyle w:val="ListParagraph"/>
        <w:numPr>
          <w:ilvl w:val="0"/>
          <w:numId w:val="3"/>
        </w:numPr>
        <w:spacing w:after="60"/>
      </w:pPr>
      <w:r>
        <w:t xml:space="preserve">Set up custom domain (e.g., ai-dashboard.ejada.com) with SSL</w:t>
      </w:r>
    </w:p>
    <w:p>
      <w:pPr>
        <w:pStyle w:val="ListParagraph"/>
        <w:numPr>
          <w:ilvl w:val="0"/>
          <w:numId w:val="3"/>
        </w:numPr>
        <w:spacing w:after="60"/>
      </w:pPr>
      <w:r>
        <w:t xml:space="preserve">Configure caching headers for static assets (JS, CSS, images)</w:t>
      </w:r>
    </w:p>
    <w:p>
      <w:pPr>
        <w:pStyle w:val="ListParagraph"/>
        <w:numPr>
          <w:ilvl w:val="0"/>
          <w:numId w:val="3"/>
        </w:numPr>
        <w:spacing w:after="60"/>
      </w:pPr>
      <w:r>
        <w:t xml:space="preserve">Run parallel deployment: new host + GitHub Pages simultaneously</w:t>
      </w:r>
    </w:p>
    <w:p>
      <w:pPr>
        <w:pStyle w:val="ListParagraph"/>
        <w:numPr>
          <w:ilvl w:val="0"/>
          <w:numId w:val="3"/>
        </w:numPr>
        <w:spacing w:after="200"/>
      </w:pPr>
      <w:r>
        <w:t xml:space="preserve">DNS cutover after validation; keep GitHub Pages as fallback for 2 weeks</w:t>
      </w:r>
    </w:p>
    <w:p>
      <w:pPr>
        <w:pStyle w:val="Heading2"/>
      </w:pPr>
      <w:r>
        <w:t xml:space="preserve">Phase 3: Auth &amp; Security Hardening (Weeks 2–3)</w:t>
      </w:r>
    </w:p>
    <w:p>
      <w:pPr>
        <w:spacing w:after="80"/>
      </w:pPr>
      <w:r>
        <w:rPr>
          <w:b/>
          <w:bCs/>
        </w:rPr>
        <w:t xml:space="preserve">Duration: </w:t>
      </w:r>
      <w:r>
        <w:t xml:space="preserve">5–7 days</w:t>
      </w:r>
    </w:p>
    <w:p>
      <w:pPr>
        <w:spacing w:after="80"/>
      </w:pPr>
      <w:r>
        <w:rPr>
          <w:b/>
          <w:bCs/>
        </w:rPr>
        <w:t xml:space="preserve">Risk: </w:t>
      </w:r>
      <w:r>
        <w:t xml:space="preserve">Medium — requires code changes for SSO flow</w:t>
      </w:r>
    </w:p>
    <w:p>
      <w:pPr>
        <w:pStyle w:val="ListParagraph"/>
        <w:numPr>
          <w:ilvl w:val="0"/>
          <w:numId w:val="3"/>
        </w:numPr>
        <w:spacing w:after="60"/>
      </w:pPr>
      <w:r>
        <w:t xml:space="preserve">Configure SSO/SAML with corporate Active Directory (if Team tier)</w:t>
      </w:r>
    </w:p>
    <w:p>
      <w:pPr>
        <w:pStyle w:val="ListParagraph"/>
        <w:numPr>
          <w:ilvl w:val="0"/>
          <w:numId w:val="3"/>
        </w:numPr>
        <w:spacing w:after="60"/>
      </w:pPr>
      <w:r>
        <w:t xml:space="preserve">Implement auto-provisioning: new employees auto-assigned roles based on department</w:t>
      </w:r>
    </w:p>
    <w:p>
      <w:pPr>
        <w:pStyle w:val="ListParagraph"/>
        <w:numPr>
          <w:ilvl w:val="0"/>
          <w:numId w:val="3"/>
        </w:numPr>
        <w:spacing w:after="60"/>
      </w:pPr>
      <w:r>
        <w:t xml:space="preserve">Add API rate limiting per user (prevent abuse of AI features)</w:t>
      </w:r>
    </w:p>
    <w:p>
      <w:pPr>
        <w:pStyle w:val="ListParagraph"/>
        <w:numPr>
          <w:ilvl w:val="0"/>
          <w:numId w:val="3"/>
        </w:numPr>
        <w:spacing w:after="60"/>
      </w:pPr>
      <w:r>
        <w:t xml:space="preserve">Review and tighten Row-Level Security policies for new role hierarchy</w:t>
      </w:r>
    </w:p>
    <w:p>
      <w:pPr>
        <w:pStyle w:val="ListParagraph"/>
        <w:numPr>
          <w:ilvl w:val="0"/>
          <w:numId w:val="3"/>
        </w:numPr>
        <w:spacing w:after="200"/>
      </w:pPr>
      <w:r>
        <w:t xml:space="preserve">Implement session management and idle timeout policies</w:t>
      </w:r>
    </w:p>
    <w:p>
      <w:pPr>
        <w:pStyle w:val="Heading2"/>
      </w:pPr>
      <w:r>
        <w:t xml:space="preserve">Phase 4: AI Services &amp; Chat Widget Deployment (Weeks 3–4)</w:t>
      </w:r>
    </w:p>
    <w:p>
      <w:pPr>
        <w:spacing w:after="80"/>
      </w:pPr>
      <w:r>
        <w:rPr>
          <w:b/>
          <w:bCs/>
        </w:rPr>
        <w:t xml:space="preserve">Duration: </w:t>
      </w:r>
      <w:r>
        <w:t xml:space="preserve">5–7 days</w:t>
      </w:r>
    </w:p>
    <w:p>
      <w:pPr>
        <w:spacing w:after="80"/>
      </w:pPr>
      <w:r>
        <w:rPr>
          <w:b/>
          <w:bCs/>
        </w:rPr>
        <w:t xml:space="preserve">Risk: </w:t>
      </w:r>
      <w:r>
        <w:t xml:space="preserve">Medium — new deployment of Express server</w:t>
      </w:r>
    </w:p>
    <w:p>
      <w:pPr>
        <w:pStyle w:val="ListParagraph"/>
        <w:numPr>
          <w:ilvl w:val="0"/>
          <w:numId w:val="3"/>
        </w:numPr>
        <w:spacing w:after="60"/>
      </w:pPr>
      <w:r>
        <w:t xml:space="preserve">Deploy adoption-agent chat widget to Supabase Edge Function or Azure App Service</w:t>
      </w:r>
    </w:p>
    <w:p>
      <w:pPr>
        <w:pStyle w:val="ListParagraph"/>
        <w:numPr>
          <w:ilvl w:val="0"/>
          <w:numId w:val="3"/>
        </w:numPr>
        <w:spacing w:after="60"/>
      </w:pPr>
      <w:r>
        <w:t xml:space="preserve">Set up OpenAI and Anthropic API key management (Azure Key Vault or Supabase secrets)</w:t>
      </w:r>
    </w:p>
    <w:p>
      <w:pPr>
        <w:pStyle w:val="ListParagraph"/>
        <w:numPr>
          <w:ilvl w:val="0"/>
          <w:numId w:val="3"/>
        </w:numPr>
        <w:spacing w:after="60"/>
      </w:pPr>
      <w:r>
        <w:t xml:space="preserve">Implement response caching for common AI suggestions</w:t>
      </w:r>
    </w:p>
    <w:p>
      <w:pPr>
        <w:pStyle w:val="ListParagraph"/>
        <w:numPr>
          <w:ilvl w:val="0"/>
          <w:numId w:val="3"/>
        </w:numPr>
        <w:spacing w:after="60"/>
      </w:pPr>
      <w:r>
        <w:t xml:space="preserve">Add per-user rate limiting on AI endpoints (e.g., 20 chat messages/hour)</w:t>
      </w:r>
    </w:p>
    <w:p>
      <w:pPr>
        <w:pStyle w:val="ListParagraph"/>
        <w:numPr>
          <w:ilvl w:val="0"/>
          <w:numId w:val="3"/>
        </w:numPr>
        <w:spacing w:after="200"/>
      </w:pPr>
      <w:r>
        <w:t xml:space="preserve">Load test with simulated 500 concurrent users before go-live</w:t>
      </w:r>
    </w:p>
    <w:p>
      <w:pPr>
        <w:pStyle w:val="Heading2"/>
      </w:pPr>
      <w:r>
        <w:t xml:space="preserve">8.5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Phase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Week 1</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Week 2</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Week 3</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Week 4</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Supabase Upgrade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27AE60"/>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 Frontend Migration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27AE60"/>
                <w:sz w:val="22"/>
                <w:szCs w:val="22"/>
              </w:rPr>
              <w:t xml:space="preserv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27AE60"/>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 Auth &amp; 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F39C12"/>
                <w:sz w:val="22"/>
                <w:szCs w:val="22"/>
              </w:rPr>
              <w:t xml:space="preserv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F39C12"/>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AI Services Deploy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F39C12"/>
                <w:sz w:val="22"/>
                <w:szCs w:val="22"/>
              </w:rPr>
              <w:t xml:space="preserv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F39C1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Go-Live &amp; Monitoring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B4F7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Phased rollout</w:t>
            </w:r>
          </w:p>
        </w:tc>
      </w:tr>
    </w:tbl>
    <w:p>
      <w:r>
        <w:br w:type="page"/>
      </w:r>
    </w:p>
    <w:p>
      <w:pPr>
        <w:pStyle w:val="Heading1"/>
      </w:pPr>
      <w:r>
        <w:t xml:space="preserve">9. Performance &amp; Reliability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Current Target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Enterprise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Page Load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3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2 seconds (CDN)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Concurrent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Uptime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SLA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99.9% SLA (Pro/Team)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Response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500ms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200ms (connection pooling)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 Email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4/hour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Unlimited (corporate SMTP)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Backup Recovery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PITR — restore to any second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at Rest Encryption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Supabase default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AES-256 + customer-managed keys</w:t>
            </w:r>
          </w:p>
        </w:tc>
      </w:tr>
    </w:tbl>
    <w:p>
      <w:pPr>
        <w:pStyle w:val="Heading1"/>
        <w:spacing w:before="300"/>
      </w:pPr>
      <w:r>
        <w:t xml:space="preserve">10. Phased Rollout Strategy</w:t>
      </w:r>
    </w:p>
    <w:p>
      <w:pPr>
        <w:spacing w:after="200"/>
      </w:pPr>
      <w:r>
        <w:t xml:space="preserve">Rather than a big-bang rollout to 5,000 employees, we recommend a phased approach to catch issues early and build organizational confidence:</w:t>
      </w:r>
    </w:p>
    <w:p>
      <w:pPr>
        <w:pStyle w:val="ListParagraph"/>
        <w:numPr>
          <w:ilvl w:val="0"/>
          <w:numId w:val="2"/>
        </w:numPr>
        <w:spacing w:after="80"/>
      </w:pPr>
      <w:r>
        <w:rPr>
          <w:b/>
          <w:bCs/>
        </w:rPr>
        <w:t xml:space="preserve">Wave 1 (Week 5): </w:t>
      </w:r>
      <w:r>
        <w:t xml:space="preserve">Existing 120 users on the new infrastructure. Validate that everything works identically. 1-week soak period.</w:t>
      </w:r>
    </w:p>
    <w:p>
      <w:pPr>
        <w:pStyle w:val="ListParagraph"/>
        <w:numPr>
          <w:ilvl w:val="0"/>
          <w:numId w:val="2"/>
        </w:numPr>
        <w:spacing w:after="80"/>
      </w:pPr>
      <w:r>
        <w:rPr>
          <w:b/>
          <w:bCs/>
        </w:rPr>
        <w:t xml:space="preserve">Wave 2 (Week 6): </w:t>
      </w:r>
      <w:r>
        <w:t xml:space="preserve">Expand to 500 users across 2–3 additional practices. Test onboarding flow, SSO, and auto-provisioning. Monitor database load.</w:t>
      </w:r>
    </w:p>
    <w:p>
      <w:pPr>
        <w:pStyle w:val="ListParagraph"/>
        <w:numPr>
          <w:ilvl w:val="0"/>
          <w:numId w:val="2"/>
        </w:numPr>
        <w:spacing w:after="80"/>
      </w:pPr>
      <w:r>
        <w:rPr>
          <w:b/>
          <w:bCs/>
        </w:rPr>
        <w:t xml:space="preserve">Wave 3 (Week 7): </w:t>
      </w:r>
      <w:r>
        <w:t xml:space="preserve">Expand to 2,000 users. Stress-test concurrent access during peak hours. Validate AI feature costs.</w:t>
      </w:r>
    </w:p>
    <w:p>
      <w:pPr>
        <w:pStyle w:val="ListParagraph"/>
        <w:numPr>
          <w:ilvl w:val="0"/>
          <w:numId w:val="2"/>
        </w:numPr>
        <w:spacing w:after="200"/>
      </w:pPr>
      <w:r>
        <w:rPr>
          <w:b/>
          <w:bCs/>
        </w:rPr>
        <w:t xml:space="preserve">Wave 4 (Week 8): </w:t>
      </w:r>
      <w:r>
        <w:t xml:space="preserve">Full company-wide rollout to 5,000+ employees. Announce via corporate communications. Dedicated support channel for first 2 weeks.</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800"/>
        <w:gridCol w:w="27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Risk</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Severity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Mitigation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Contingency</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Supabase outage impacts all users</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Enable PITR + daily backups; monitor status page</w:t>
            </w:r>
          </w:p>
        </w:tc>
        <w:tc>
          <w:tcPr>
            <w:tcW w:type="dxa" w:w="2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Failover to read replica or static maintenance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AI API costs exceed budget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Per-user rate limits + response caching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Disable AI features; core dashboard unaffected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SSO integration delays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Start with email/password; SSO as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Corporate SMTP eliminates email rate limit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Performance degradation at scale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Connection pooling + CDN + load testing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Scale up Supabase compute add-on ($)</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migration errors</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data migration needed (same DB)</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PITR restore to pre-upgrade state</w:t>
            </w:r>
          </w:p>
        </w:tc>
      </w:tr>
    </w:tbl>
    <w:p>
      <w:pPr>
        <w:pStyle w:val="Heading1"/>
        <w:spacing w:before="300"/>
      </w:pPr>
      <w:r>
        <w:t xml:space="preserve">12. Decision Required from Management</w:t>
      </w:r>
    </w:p>
    <w:p>
      <w:pPr>
        <w:spacing w:after="200"/>
      </w:pPr>
      <w:r>
        <w:t xml:space="preserve">The following decisions are needed to proceed with the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Decision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Options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Supabase tier selection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 ($25+usage) vs Team ($599)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 first; Team if SSO required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hosting 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Azure Static Web Apps vs Cloudflare Pages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Azure if Ejada uses Azure; else Cloudflare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Authentication method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Email/password + SMTP vs SSO/SAML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SSO/SAML for 5K+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AI feature budget cap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Monthly spend limit for OpenAI + Anthropic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Start at $400/mo; review after Wave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 domain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ai-dashboard.ejada.com or similar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Coordinate with IT/DNS team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Go-live target 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4-week migration + 4-week rollout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rollout by mid-June 2026</w:t>
            </w:r>
          </w:p>
        </w:tc>
      </w:tr>
    </w:tbl>
    <w:p>
      <w:r>
        <w:br w:type="page"/>
      </w:r>
    </w:p>
    <w:p>
      <w:pPr>
        <w:pStyle w:val="Heading1"/>
      </w:pPr>
      <w:r>
        <w:t xml:space="preserve">Appendix A: Quick Reference — Supabase Tier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Feature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Free (Current)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 ($25/mo)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Team ($599/mo)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 $0.125/GB)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 $0.125/GB)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Monthly Active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 GB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Edge Function Invocations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Realtime Connections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 (+ $10/1K)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 (+ $10/1K)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Point-in-Time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 SMTP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SSO/SAML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99.9%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Community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Priority + SOC2</w:t>
            </w:r>
          </w:p>
        </w:tc>
      </w:tr>
    </w:tbl>
    <w:p>
      <w:pPr>
        <w:spacing w:before="400"/>
      </w:pPr>
    </w:p>
    <w:p>
      <w:pPr>
        <w:pBdr>
          <w:bottom w:val="single" w:color="1B4F72" w:sz="6" w:space="1"/>
        </w:pBdr>
      </w:pPr>
    </w:p>
    <w:p>
      <w:pPr>
        <w:spacing w:before="200"/>
        <w:jc w:val="center"/>
      </w:pPr>
      <w:r>
        <w:rPr>
          <w:i/>
          <w:iCs/>
          <w:color w:val="7F8C8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tabs>
        <w:tab w:val="right" w:pos="9026"/>
      </w:tabs>
    </w:pPr>
    <w:r>
      <w:rPr>
        <w:rFonts w:ascii="Arial" w:cs="Arial" w:eastAsia="Arial" w:hAnsi="Arial"/>
        <w:color w:val="7F8C8D"/>
        <w:sz w:val="18"/>
        <w:szCs w:val="18"/>
      </w:rPr>
      <w:t xml:space="preserve">EAS AI Dashboard — Enterprise Scaling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2026-04-13T16:18:27.425Z</dcterms:created>
  <dcterms:modified xsi:type="dcterms:W3CDTF">2026-04-13T16:18:27.425Z</dcterms:modified>
</cp:coreProperties>
</file>

<file path=docProps/custom.xml><?xml version="1.0" encoding="utf-8"?>
<Properties xmlns="http://schemas.openxmlformats.org/officeDocument/2006/custom-properties" xmlns:vt="http://schemas.openxmlformats.org/officeDocument/2006/docPropsVTypes"/>
</file>