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1F4E79"/>
          <w:sz w:val="40"/>
          <w:szCs w:val="40"/>
        </w:rPr>
        <w:t xml:space="preserve">Recommendations for Targeted Retention Strategies</w:t>
      </w:r>
    </w:p>
    <w:p>
      <w:pPr>
        <w:spacing w:after="60"/>
      </w:pPr>
      <w:r>
        <w:rPr>
          <w:rFonts w:ascii="Arial" w:cs="Arial" w:eastAsia="Arial" w:hAnsi="Arial"/>
          <w:color w:val="404040"/>
          <w:sz w:val="28"/>
          <w:szCs w:val="28"/>
        </w:rPr>
        <w:t xml:space="preserve">Turning the Segmentation and Churn Prediction Results Into Action</w:t>
      </w:r>
    </w:p>
    <w:p>
      <w:pPr>
        <w:pBdr>
          <w:bottom w:val="single" w:color="1F4E79" w:sz="8" w:space="6"/>
        </w:pBdr>
        <w:spacing w:after="240"/>
      </w:pPr>
      <w:r>
        <w:rPr>
          <w:rFonts w:ascii="Arial" w:cs="Arial" w:eastAsia="Arial" w:hAnsi="Arial"/>
          <w:color w:val="595959"/>
          <w:sz w:val="20"/>
          <w:szCs w:val="20"/>
        </w:rPr>
        <w:t xml:space="preserve">Stage 3, Final Report 3-2(c)  |  Data Analyst, Predictive Modeling  |  October 2026</w:t>
      </w:r>
    </w:p>
    <w:p>
      <w:pPr>
        <w:pStyle w:val="Heading1"/>
        <w:keepNext/>
        <w:spacing w:after="140" w:before="320"/>
      </w:pPr>
      <w:r>
        <w:rPr>
          <w:rFonts w:ascii="Arial" w:cs="Arial" w:eastAsia="Arial" w:hAnsi="Arial"/>
        </w:rPr>
        <w:t xml:space="preserve">1. Purpose and Basis</w:t>
      </w:r>
    </w:p>
    <w:p>
      <w:pPr>
        <w:spacing w:after="120" w:line="276"/>
      </w:pPr>
      <w:r>
        <w:rPr>
          <w:rFonts w:ascii="Arial" w:cs="Arial" w:eastAsia="Arial" w:hAnsi="Arial"/>
          <w:sz w:val="22"/>
          <w:szCs w:val="22"/>
        </w:rPr>
        <w:t xml:space="preserve">This document recommends how the company can reduce churn by directing retention effort to the customers most likely to leave. Every recommendation is tied to a finding from the earlier analysis:</w:t>
      </w:r>
    </w:p>
    <w:p>
      <w:pPr>
        <w:pStyle w:val="ListParagraph"/>
        <w:keepNext w:val="false"/>
        <w:numPr>
          <w:ilvl w:val="0"/>
          <w:numId w:val="2"/>
        </w:numPr>
        <w:spacing w:after="80" w:line="276"/>
      </w:pPr>
      <w:r>
        <w:rPr>
          <w:rFonts w:ascii="Arial" w:cs="Arial" w:eastAsia="Arial" w:hAnsi="Arial"/>
          <w:sz w:val="22"/>
          <w:szCs w:val="22"/>
        </w:rPr>
        <w:t xml:space="preserve">Customers were grouped into four segments by tenure and monthly charges, and the segments differ sharply in churn.</w:t>
      </w:r>
    </w:p>
    <w:p>
      <w:pPr>
        <w:pStyle w:val="ListParagraph"/>
        <w:keepNext w:val="false"/>
        <w:numPr>
          <w:ilvl w:val="0"/>
          <w:numId w:val="2"/>
        </w:numPr>
        <w:spacing w:after="80" w:line="276"/>
      </w:pPr>
      <w:r>
        <w:rPr>
          <w:rFonts w:ascii="Arial" w:cs="Arial" w:eastAsia="Arial" w:hAnsi="Arial"/>
          <w:sz w:val="22"/>
          <w:szCs w:val="22"/>
        </w:rPr>
        <w:t xml:space="preserve">Tenure and monthly charges are the two factors that matter most, and senior citizens and customers without dependents also churn more.</w:t>
      </w:r>
    </w:p>
    <w:p>
      <w:pPr>
        <w:pStyle w:val="ListParagraph"/>
        <w:keepNext w:val="false"/>
        <w:numPr>
          <w:ilvl w:val="0"/>
          <w:numId w:val="2"/>
        </w:numPr>
        <w:spacing w:after="80" w:line="276"/>
      </w:pPr>
      <w:r>
        <w:rPr>
          <w:rFonts w:ascii="Arial" w:cs="Arial" w:eastAsia="Arial" w:hAnsi="Arial"/>
          <w:sz w:val="22"/>
          <w:szCs w:val="22"/>
        </w:rPr>
        <w:t xml:space="preserve">The ANN gives each customer a churn probability, which can be used to decide who to contact.</w:t>
      </w:r>
    </w:p>
    <w:p>
      <w:pPr>
        <w:spacing w:after="120" w:line="276"/>
      </w:pPr>
      <w:r>
        <w:rPr>
          <w:rFonts w:ascii="Arial" w:cs="Arial" w:eastAsia="Arial" w:hAnsi="Arial"/>
          <w:b/>
          <w:bCs/>
          <w:sz w:val="22"/>
          <w:szCs w:val="22"/>
        </w:rPr>
        <w:t xml:space="preserve">Important: </w:t>
      </w:r>
      <w:r>
        <w:rPr>
          <w:rFonts w:ascii="Arial" w:cs="Arial" w:eastAsia="Arial" w:hAnsi="Arial"/>
          <w:sz w:val="22"/>
          <w:szCs w:val="22"/>
        </w:rPr>
        <w:t xml:space="preserve">the findings show associations, not proven causes. The strategies below are well-founded starting points and should be tested with a pilot before being rolled out to every customer (see Section 7).</w:t>
      </w:r>
    </w:p>
    <w:p>
      <w:pPr>
        <w:pStyle w:val="Heading1"/>
        <w:keepNext/>
        <w:spacing w:after="140" w:before="320"/>
      </w:pPr>
      <w:r>
        <w:rPr>
          <w:rFonts w:ascii="Arial" w:cs="Arial" w:eastAsia="Arial" w:hAnsi="Arial"/>
        </w:rPr>
        <w:t xml:space="preserve">2. Where to Focus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050"/>
        <w:gridCol w:w="1500"/>
        <w:gridCol w:w="1050"/>
        <w:gridCol w:w="3226"/>
      </w:tblGrid>
      <w:tr>
        <w:trPr>
          <w:cantSplit/>
          <w:tblHeader/>
        </w:trPr>
        <w:tc>
          <w:tcPr>
            <w:tcW w:type="dxa" w:w="2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Segment</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Churn rate</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Share of all churners</w:t>
            </w:r>
          </w:p>
        </w:tc>
        <w:tc>
          <w:tcPr>
            <w:tcW w:type="dxa" w:w="105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Priority</w:t>
            </w:r>
          </w:p>
        </w:tc>
        <w:tc>
          <w:tcPr>
            <w:tcW w:type="dxa" w:w="3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Retention goal</w:t>
            </w:r>
          </w:p>
        </w:tc>
      </w:tr>
      <w:tr>
        <w:trPr>
          <w:cantSplit/>
        </w:trPr>
        <w:tc>
          <w:tcPr>
            <w:tcW w:type="dxa" w:w="22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keepNext/>
              <w:jc w:val="left"/>
            </w:pPr>
            <w:r>
              <w:rPr>
                <w:rFonts w:ascii="Arial" w:cs="Arial" w:eastAsia="Arial" w:hAnsi="Arial"/>
                <w:b/>
                <w:bCs/>
                <w:sz w:val="19"/>
                <w:szCs w:val="19"/>
              </w:rPr>
              <w:t xml:space="preserve">New Premium (high risk)</w:t>
            </w:r>
          </w:p>
        </w:tc>
        <w:tc>
          <w:tcPr>
            <w:tcW w:type="dxa" w:w="105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keepNext/>
              <w:jc w:val="center"/>
            </w:pPr>
            <w:r>
              <w:rPr>
                <w:rFonts w:ascii="Arial" w:cs="Arial" w:eastAsia="Arial" w:hAnsi="Arial"/>
                <w:b/>
                <w:bCs/>
                <w:sz w:val="19"/>
                <w:szCs w:val="19"/>
              </w:rPr>
              <w:t xml:space="preserve">49.2%</w:t>
            </w:r>
          </w:p>
        </w:tc>
        <w:tc>
          <w:tcPr>
            <w:tcW w:type="dxa" w:w="150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keepNext/>
              <w:jc w:val="center"/>
            </w:pPr>
            <w:r>
              <w:rPr>
                <w:rFonts w:ascii="Arial" w:cs="Arial" w:eastAsia="Arial" w:hAnsi="Arial"/>
                <w:b/>
                <w:bCs/>
                <w:sz w:val="19"/>
                <w:szCs w:val="19"/>
              </w:rPr>
              <w:t xml:space="preserve">57.9%</w:t>
            </w:r>
          </w:p>
        </w:tc>
        <w:tc>
          <w:tcPr>
            <w:tcW w:type="dxa" w:w="1050"/>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keepNext/>
              <w:jc w:val="center"/>
            </w:pPr>
            <w:r>
              <w:rPr>
                <w:rFonts w:ascii="Arial" w:cs="Arial" w:eastAsia="Arial" w:hAnsi="Arial"/>
                <w:b/>
                <w:bCs/>
                <w:sz w:val="19"/>
                <w:szCs w:val="19"/>
              </w:rPr>
              <w:t xml:space="preserve">1</w:t>
            </w:r>
          </w:p>
        </w:tc>
        <w:tc>
          <w:tcPr>
            <w:tcW w:type="dxa" w:w="3226"/>
            <w:tcBorders>
              <w:top w:val="single" w:color="BFBFBF" w:sz="4"/>
              <w:left w:val="single" w:color="BFBFBF" w:sz="4"/>
              <w:bottom w:val="single" w:color="BFBFBF" w:sz="4"/>
              <w:right w:val="single" w:color="BFBFBF" w:sz="4"/>
            </w:tcBorders>
            <w:shd w:fill="FCE4D6" w:color="auto" w:val="clear"/>
            <w:tcMar>
              <w:top w:type="dxa" w:w="70"/>
              <w:left w:type="dxa" w:w="110"/>
              <w:bottom w:type="dxa" w:w="70"/>
              <w:right w:type="dxa" w:w="110"/>
            </w:tcMar>
          </w:tcPr>
          <w:p>
            <w:pPr>
              <w:keepNext/>
              <w:jc w:val="left"/>
            </w:pPr>
            <w:r>
              <w:rPr>
                <w:rFonts w:ascii="Arial" w:cs="Arial" w:eastAsia="Arial" w:hAnsi="Arial"/>
                <w:b/>
                <w:bCs/>
                <w:sz w:val="19"/>
                <w:szCs w:val="19"/>
              </w:rPr>
              <w:t xml:space="preserve">Stop early exits among customers paying higher bills</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New Budget</w:t>
            </w:r>
          </w:p>
        </w:tc>
        <w:tc>
          <w:tcPr>
            <w:tcW w:type="dxa" w:w="10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24.5%</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22.7%</w:t>
            </w:r>
          </w:p>
        </w:tc>
        <w:tc>
          <w:tcPr>
            <w:tcW w:type="dxa" w:w="10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2</w:t>
            </w:r>
          </w:p>
        </w:tc>
        <w:tc>
          <w:tcPr>
            <w:tcW w:type="dxa" w:w="32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Keep new low-spend customers engaged through their first year</w:t>
            </w:r>
          </w:p>
        </w:tc>
      </w:tr>
      <w:tr>
        <w:trPr>
          <w:cantSplit/>
        </w:trPr>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Loyal Premium</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15.7%</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16.4%</w:t>
            </w:r>
          </w:p>
        </w:tc>
        <w:tc>
          <w:tcPr>
            <w:tcW w:type="dxa" w:w="105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w:t>
            </w:r>
          </w:p>
        </w:tc>
        <w:tc>
          <w:tcPr>
            <w:tcW w:type="dxa" w:w="3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Protect high-value customers with regular relationship care</w:t>
            </w:r>
          </w:p>
        </w:tc>
      </w:tr>
      <w:tr>
        <w:trPr>
          <w:cantSplit/>
        </w:trPr>
        <w:tc>
          <w:tcPr>
            <w:tcW w:type="dxa" w:w="22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Loyal Budget</w:t>
            </w:r>
          </w:p>
        </w:tc>
        <w:tc>
          <w:tcPr>
            <w:tcW w:type="dxa" w:w="10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4.8%</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3.0%</w:t>
            </w:r>
          </w:p>
        </w:tc>
        <w:tc>
          <w:tcPr>
            <w:tcW w:type="dxa" w:w="105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4</w:t>
            </w:r>
          </w:p>
        </w:tc>
        <w:tc>
          <w:tcPr>
            <w:tcW w:type="dxa" w:w="32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Maintain with minimal cost</w:t>
            </w:r>
          </w:p>
        </w:tc>
      </w:tr>
    </w:tbl>
    <w:p>
      <w:pPr>
        <w:spacing w:after="140"/>
      </w:pPr>
    </w:p>
    <w:p>
      <w:pPr>
        <w:spacing w:after="120" w:line="276"/>
      </w:pPr>
      <w:r>
        <w:rPr>
          <w:rFonts w:ascii="Arial" w:cs="Arial" w:eastAsia="Arial" w:hAnsi="Arial"/>
          <w:sz w:val="22"/>
          <w:szCs w:val="22"/>
        </w:rPr>
        <w:t xml:space="preserve">More than half of all churn comes from one segment, and four out of five churners come from the two New segments. Effort spent on customers in their first year has the largest potential return.</w:t>
      </w:r>
    </w:p>
    <w:p>
      <w:pPr>
        <w:pStyle w:val="Heading1"/>
        <w:keepNext/>
        <w:spacing w:after="140" w:before="320"/>
      </w:pPr>
      <w:r>
        <w:rPr>
          <w:rFonts w:ascii="Arial" w:cs="Arial" w:eastAsia="Arial" w:hAnsi="Arial"/>
        </w:rPr>
        <w:t xml:space="preserve">3. Strategies by Segment</w:t>
      </w:r>
    </w:p>
    <w:p>
      <w:pPr>
        <w:pStyle w:val="Heading2"/>
        <w:keepNext/>
        <w:spacing w:after="100" w:before="220"/>
      </w:pPr>
      <w:r>
        <w:rPr>
          <w:rFonts w:ascii="Arial" w:cs="Arial" w:eastAsia="Arial" w:hAnsi="Arial"/>
        </w:rPr>
        <w:t xml:space="preserve">3.1 New Premium (high risk): Priority 1</w:t>
      </w:r>
    </w:p>
    <w:p>
      <w:pPr>
        <w:spacing w:after="120" w:line="276"/>
      </w:pPr>
      <w:r>
        <w:rPr>
          <w:rFonts w:ascii="Arial" w:cs="Arial" w:eastAsia="Arial" w:hAnsi="Arial"/>
          <w:b/>
          <w:bCs/>
          <w:sz w:val="22"/>
          <w:szCs w:val="22"/>
        </w:rPr>
        <w:t xml:space="preserve">Why: </w:t>
      </w:r>
      <w:r>
        <w:rPr>
          <w:rFonts w:ascii="Arial" w:cs="Arial" w:eastAsia="Arial" w:hAnsi="Arial"/>
          <w:sz w:val="22"/>
          <w:szCs w:val="22"/>
        </w:rPr>
        <w:t xml:space="preserve">49% of these customers leave. They have about 15 months of tenure and pay about $81 per month. First-year customers paying $70 to $95 churn at 67%.</w:t>
      </w:r>
    </w:p>
    <w:p>
      <w:pPr>
        <w:pStyle w:val="ListParagraph"/>
        <w:keepNext w:val="false"/>
        <w:numPr>
          <w:ilvl w:val="0"/>
          <w:numId w:val="2"/>
        </w:numPr>
        <w:spacing w:after="80" w:line="276"/>
      </w:pPr>
      <w:r>
        <w:rPr>
          <w:rFonts w:ascii="Arial" w:cs="Arial" w:eastAsia="Arial" w:hAnsi="Arial"/>
          <w:b/>
          <w:bCs/>
          <w:sz w:val="22"/>
          <w:szCs w:val="22"/>
        </w:rPr>
        <w:t xml:space="preserve">Structured first-year programme. </w:t>
      </w:r>
      <w:r>
        <w:rPr>
          <w:rFonts w:ascii="Arial" w:cs="Arial" w:eastAsia="Arial" w:hAnsi="Arial"/>
          <w:sz w:val="22"/>
          <w:szCs w:val="22"/>
        </w:rPr>
        <w:t xml:space="preserve">Contact each new customer on a fixed schedule, for example at months 1, 3, 6 and 9, to check satisfaction and fix problems early.</w:t>
      </w:r>
    </w:p>
    <w:p>
      <w:pPr>
        <w:pStyle w:val="ListParagraph"/>
        <w:keepNext w:val="false"/>
        <w:numPr>
          <w:ilvl w:val="0"/>
          <w:numId w:val="2"/>
        </w:numPr>
        <w:spacing w:after="80" w:line="276"/>
      </w:pPr>
      <w:r>
        <w:rPr>
          <w:rFonts w:ascii="Arial" w:cs="Arial" w:eastAsia="Arial" w:hAnsi="Arial"/>
          <w:b/>
          <w:bCs/>
          <w:sz w:val="22"/>
          <w:szCs w:val="22"/>
        </w:rPr>
        <w:t xml:space="preserve">Early bill review. </w:t>
      </w:r>
      <w:r>
        <w:rPr>
          <w:rFonts w:ascii="Arial" w:cs="Arial" w:eastAsia="Arial" w:hAnsi="Arial"/>
          <w:sz w:val="22"/>
          <w:szCs w:val="22"/>
        </w:rPr>
        <w:t xml:space="preserve">Check each new customer's first bills against what they expected, and offer a plan review to anyone paying well above the average. High charges are the strongest risk factor after tenure.</w:t>
      </w:r>
    </w:p>
    <w:p>
      <w:pPr>
        <w:pStyle w:val="ListParagraph"/>
        <w:keepNext w:val="false"/>
        <w:numPr>
          <w:ilvl w:val="0"/>
          <w:numId w:val="2"/>
        </w:numPr>
        <w:spacing w:after="80" w:line="276"/>
      </w:pPr>
      <w:r>
        <w:rPr>
          <w:rFonts w:ascii="Arial" w:cs="Arial" w:eastAsia="Arial" w:hAnsi="Arial"/>
          <w:b/>
          <w:bCs/>
          <w:sz w:val="22"/>
          <w:szCs w:val="22"/>
        </w:rPr>
        <w:t xml:space="preserve">Value-matching offers. </w:t>
      </w:r>
      <w:r>
        <w:rPr>
          <w:rFonts w:ascii="Arial" w:cs="Arial" w:eastAsia="Arial" w:hAnsi="Arial"/>
          <w:sz w:val="22"/>
          <w:szCs w:val="22"/>
        </w:rPr>
        <w:t xml:space="preserve">For customers paying $70 or more in their first year, offer a plan optimisation, a time-limited loyalty credit or an added benefit that makes the price feel worthwhile.</w:t>
      </w:r>
    </w:p>
    <w:p>
      <w:pPr>
        <w:pStyle w:val="ListParagraph"/>
        <w:keepNext w:val="false"/>
        <w:numPr>
          <w:ilvl w:val="0"/>
          <w:numId w:val="2"/>
        </w:numPr>
        <w:spacing w:after="80" w:line="276"/>
      </w:pPr>
      <w:r>
        <w:rPr>
          <w:rFonts w:ascii="Arial" w:cs="Arial" w:eastAsia="Arial" w:hAnsi="Arial"/>
          <w:b/>
          <w:bCs/>
          <w:sz w:val="22"/>
          <w:szCs w:val="22"/>
        </w:rPr>
        <w:t xml:space="preserve">Model-triggered outreach. </w:t>
      </w:r>
      <w:r>
        <w:rPr>
          <w:rFonts w:ascii="Arial" w:cs="Arial" w:eastAsia="Arial" w:hAnsi="Arial"/>
          <w:sz w:val="22"/>
          <w:szCs w:val="22"/>
        </w:rPr>
        <w:t xml:space="preserve">Use the ANN's churn probability to start the contact earlier for customers who look most at risk (see Section 5).</w:t>
      </w:r>
    </w:p>
    <w:p>
      <w:pPr>
        <w:spacing w:after="120" w:line="276"/>
      </w:pPr>
      <w:r>
        <w:rPr>
          <w:rFonts w:ascii="Arial" w:cs="Arial" w:eastAsia="Arial" w:hAnsi="Arial"/>
          <w:b/>
          <w:bCs/>
          <w:sz w:val="22"/>
          <w:szCs w:val="22"/>
        </w:rPr>
        <w:t xml:space="preserve">Measure: </w:t>
      </w:r>
      <w:r>
        <w:rPr>
          <w:rFonts w:ascii="Arial" w:cs="Arial" w:eastAsia="Arial" w:hAnsi="Arial"/>
          <w:sz w:val="22"/>
          <w:szCs w:val="22"/>
        </w:rPr>
        <w:t xml:space="preserve">churn rate in this segment (currently 49.2%) and first-year churn (currently 47.4% for customers with 12 months or less).</w:t>
      </w:r>
    </w:p>
    <w:p>
      <w:pPr>
        <w:pStyle w:val="Heading2"/>
        <w:keepNext/>
        <w:spacing w:after="100" w:before="220"/>
      </w:pPr>
      <w:r>
        <w:rPr>
          <w:rFonts w:ascii="Arial" w:cs="Arial" w:eastAsia="Arial" w:hAnsi="Arial"/>
        </w:rPr>
        <w:t xml:space="preserve">3.2 New Budget: Priority 2</w:t>
      </w:r>
    </w:p>
    <w:p>
      <w:pPr>
        <w:spacing w:after="120" w:line="276"/>
      </w:pPr>
      <w:r>
        <w:rPr>
          <w:rFonts w:ascii="Arial" w:cs="Arial" w:eastAsia="Arial" w:hAnsi="Arial"/>
          <w:b/>
          <w:bCs/>
          <w:sz w:val="22"/>
          <w:szCs w:val="22"/>
        </w:rPr>
        <w:t xml:space="preserve">Why: </w:t>
      </w:r>
      <w:r>
        <w:rPr>
          <w:rFonts w:ascii="Arial" w:cs="Arial" w:eastAsia="Arial" w:hAnsi="Arial"/>
          <w:sz w:val="22"/>
          <w:szCs w:val="22"/>
        </w:rPr>
        <w:t xml:space="preserve">24.5% churn is close to the overall average, and this group makes up one quarter of all customers. They pay little, so costly offers are not justified.</w:t>
      </w:r>
    </w:p>
    <w:p>
      <w:pPr>
        <w:pStyle w:val="ListParagraph"/>
        <w:keepNext w:val="false"/>
        <w:numPr>
          <w:ilvl w:val="0"/>
          <w:numId w:val="2"/>
        </w:numPr>
        <w:spacing w:after="80" w:line="276"/>
      </w:pPr>
      <w:r>
        <w:rPr>
          <w:rFonts w:ascii="Arial" w:cs="Arial" w:eastAsia="Arial" w:hAnsi="Arial"/>
          <w:b/>
          <w:bCs/>
          <w:sz w:val="22"/>
          <w:szCs w:val="22"/>
        </w:rPr>
        <w:t xml:space="preserve">Low-cost engagement. </w:t>
      </w:r>
      <w:r>
        <w:rPr>
          <w:rFonts w:ascii="Arial" w:cs="Arial" w:eastAsia="Arial" w:hAnsi="Arial"/>
          <w:sz w:val="22"/>
          <w:szCs w:val="22"/>
        </w:rPr>
        <w:t xml:space="preserve">Use automated messages, welcome guides and usage tips rather than personal calls.</w:t>
      </w:r>
    </w:p>
    <w:p>
      <w:pPr>
        <w:pStyle w:val="ListParagraph"/>
        <w:keepNext w:val="false"/>
        <w:numPr>
          <w:ilvl w:val="0"/>
          <w:numId w:val="2"/>
        </w:numPr>
        <w:spacing w:after="80" w:line="276"/>
      </w:pPr>
      <w:r>
        <w:rPr>
          <w:rFonts w:ascii="Arial" w:cs="Arial" w:eastAsia="Arial" w:hAnsi="Arial"/>
          <w:b/>
          <w:bCs/>
          <w:sz w:val="22"/>
          <w:szCs w:val="22"/>
        </w:rPr>
        <w:t xml:space="preserve">Milestone recognition. </w:t>
      </w:r>
      <w:r>
        <w:rPr>
          <w:rFonts w:ascii="Arial" w:cs="Arial" w:eastAsia="Arial" w:hAnsi="Arial"/>
          <w:sz w:val="22"/>
          <w:szCs w:val="22"/>
        </w:rPr>
        <w:t xml:space="preserve">Mark the 6-month and 12-month anniversaries with a small reward, because churn keeps falling as customers stay longer.</w:t>
      </w:r>
    </w:p>
    <w:p>
      <w:pPr>
        <w:pStyle w:val="ListParagraph"/>
        <w:keepNext w:val="false"/>
        <w:numPr>
          <w:ilvl w:val="0"/>
          <w:numId w:val="2"/>
        </w:numPr>
        <w:spacing w:after="80" w:line="276"/>
      </w:pPr>
      <w:r>
        <w:rPr>
          <w:rFonts w:ascii="Arial" w:cs="Arial" w:eastAsia="Arial" w:hAnsi="Arial"/>
          <w:b/>
          <w:bCs/>
          <w:sz w:val="22"/>
          <w:szCs w:val="22"/>
        </w:rPr>
        <w:t xml:space="preserve">Careful pricing. </w:t>
      </w:r>
      <w:r>
        <w:rPr>
          <w:rFonts w:ascii="Arial" w:cs="Arial" w:eastAsia="Arial" w:hAnsi="Arial"/>
          <w:sz w:val="22"/>
          <w:szCs w:val="22"/>
        </w:rPr>
        <w:t xml:space="preserve">Avoid price increases or upsell pressure in the first year, since higher charges raise churn risk at every tenure.</w:t>
      </w:r>
    </w:p>
    <w:p>
      <w:pPr>
        <w:spacing w:after="120" w:line="276"/>
      </w:pPr>
      <w:r>
        <w:rPr>
          <w:rFonts w:ascii="Arial" w:cs="Arial" w:eastAsia="Arial" w:hAnsi="Arial"/>
          <w:b/>
          <w:bCs/>
          <w:sz w:val="22"/>
          <w:szCs w:val="22"/>
        </w:rPr>
        <w:t xml:space="preserve">Measure: </w:t>
      </w:r>
      <w:r>
        <w:rPr>
          <w:rFonts w:ascii="Arial" w:cs="Arial" w:eastAsia="Arial" w:hAnsi="Arial"/>
          <w:sz w:val="22"/>
          <w:szCs w:val="22"/>
        </w:rPr>
        <w:t xml:space="preserve">churn rate in this segment (currently 24.5%) and the share of customers who pass 12 months.</w:t>
      </w:r>
    </w:p>
    <w:p>
      <w:pPr>
        <w:pStyle w:val="Heading2"/>
        <w:keepNext/>
        <w:spacing w:after="100" w:before="220"/>
      </w:pPr>
      <w:r>
        <w:rPr>
          <w:rFonts w:ascii="Arial" w:cs="Arial" w:eastAsia="Arial" w:hAnsi="Arial"/>
        </w:rPr>
        <w:t xml:space="preserve">3.3 Loyal Premium: Priority 3</w:t>
      </w:r>
    </w:p>
    <w:p>
      <w:pPr>
        <w:spacing w:after="120" w:line="276"/>
      </w:pPr>
      <w:r>
        <w:rPr>
          <w:rFonts w:ascii="Arial" w:cs="Arial" w:eastAsia="Arial" w:hAnsi="Arial"/>
          <w:b/>
          <w:bCs/>
          <w:sz w:val="22"/>
          <w:szCs w:val="22"/>
        </w:rPr>
        <w:t xml:space="preserve">Why: </w:t>
      </w:r>
      <w:r>
        <w:rPr>
          <w:rFonts w:ascii="Arial" w:cs="Arial" w:eastAsia="Arial" w:hAnsi="Arial"/>
          <w:sz w:val="22"/>
          <w:szCs w:val="22"/>
        </w:rPr>
        <w:t xml:space="preserve">churn is 15.7%, well below average, but these customers pay about $93 per month, so each loss is costly. The model can identify only a small share of the loyal customers who leave, so general care matters more than prediction here.</w:t>
      </w:r>
    </w:p>
    <w:p>
      <w:pPr>
        <w:pStyle w:val="ListParagraph"/>
        <w:keepNext w:val="false"/>
        <w:numPr>
          <w:ilvl w:val="0"/>
          <w:numId w:val="2"/>
        </w:numPr>
        <w:spacing w:after="80" w:line="276"/>
      </w:pPr>
      <w:r>
        <w:rPr>
          <w:rFonts w:ascii="Arial" w:cs="Arial" w:eastAsia="Arial" w:hAnsi="Arial"/>
          <w:b/>
          <w:bCs/>
          <w:sz w:val="22"/>
          <w:szCs w:val="22"/>
        </w:rPr>
        <w:t xml:space="preserve">Regular relationship care. </w:t>
      </w:r>
      <w:r>
        <w:rPr>
          <w:rFonts w:ascii="Arial" w:cs="Arial" w:eastAsia="Arial" w:hAnsi="Arial"/>
          <w:sz w:val="22"/>
          <w:szCs w:val="22"/>
        </w:rPr>
        <w:t xml:space="preserve">Provide an annual account review and a named contact or priority service line.</w:t>
      </w:r>
    </w:p>
    <w:p>
      <w:pPr>
        <w:pStyle w:val="ListParagraph"/>
        <w:keepNext w:val="false"/>
        <w:numPr>
          <w:ilvl w:val="0"/>
          <w:numId w:val="2"/>
        </w:numPr>
        <w:spacing w:after="80" w:line="276"/>
      </w:pPr>
      <w:r>
        <w:rPr>
          <w:rFonts w:ascii="Arial" w:cs="Arial" w:eastAsia="Arial" w:hAnsi="Arial"/>
          <w:b/>
          <w:bCs/>
          <w:sz w:val="22"/>
          <w:szCs w:val="22"/>
        </w:rPr>
        <w:t xml:space="preserve">Recognition of loyalty. </w:t>
      </w:r>
      <w:r>
        <w:rPr>
          <w:rFonts w:ascii="Arial" w:cs="Arial" w:eastAsia="Arial" w:hAnsi="Arial"/>
          <w:sz w:val="22"/>
          <w:szCs w:val="22"/>
        </w:rPr>
        <w:t xml:space="preserve">Offer loyalty pricing reviews or rewards for long-standing high-spend customers.</w:t>
      </w:r>
    </w:p>
    <w:p>
      <w:pPr>
        <w:pStyle w:val="ListParagraph"/>
        <w:keepNext w:val="false"/>
        <w:numPr>
          <w:ilvl w:val="0"/>
          <w:numId w:val="2"/>
        </w:numPr>
        <w:spacing w:after="80" w:line="276"/>
      </w:pPr>
      <w:r>
        <w:rPr>
          <w:rFonts w:ascii="Arial" w:cs="Arial" w:eastAsia="Arial" w:hAnsi="Arial"/>
          <w:b/>
          <w:bCs/>
          <w:sz w:val="22"/>
          <w:szCs w:val="22"/>
        </w:rPr>
        <w:t xml:space="preserve">Listen for early signals. </w:t>
      </w:r>
      <w:r>
        <w:rPr>
          <w:rFonts w:ascii="Arial" w:cs="Arial" w:eastAsia="Arial" w:hAnsi="Arial"/>
          <w:sz w:val="22"/>
          <w:szCs w:val="22"/>
        </w:rPr>
        <w:t xml:space="preserve">Run satisfaction surveys and record support complaints, so that better data is available to predict churn in this group (see the limitations document).</w:t>
      </w:r>
    </w:p>
    <w:p>
      <w:pPr>
        <w:spacing w:after="120" w:line="276"/>
      </w:pPr>
      <w:r>
        <w:rPr>
          <w:rFonts w:ascii="Arial" w:cs="Arial" w:eastAsia="Arial" w:hAnsi="Arial"/>
          <w:b/>
          <w:bCs/>
          <w:sz w:val="22"/>
          <w:szCs w:val="22"/>
        </w:rPr>
        <w:t xml:space="preserve">Measure: </w:t>
      </w:r>
      <w:r>
        <w:rPr>
          <w:rFonts w:ascii="Arial" w:cs="Arial" w:eastAsia="Arial" w:hAnsi="Arial"/>
          <w:sz w:val="22"/>
          <w:szCs w:val="22"/>
        </w:rPr>
        <w:t xml:space="preserve">churn rate in this segment (currently 15.7%) and satisfaction scores.</w:t>
      </w:r>
    </w:p>
    <w:p>
      <w:pPr>
        <w:pStyle w:val="Heading2"/>
        <w:keepNext/>
        <w:spacing w:after="100" w:before="220"/>
      </w:pPr>
      <w:r>
        <w:rPr>
          <w:rFonts w:ascii="Arial" w:cs="Arial" w:eastAsia="Arial" w:hAnsi="Arial"/>
        </w:rPr>
        <w:t xml:space="preserve">3.4 Loyal Budget: Priority 4</w:t>
      </w:r>
    </w:p>
    <w:p>
      <w:pPr>
        <w:spacing w:after="120" w:line="276"/>
      </w:pPr>
      <w:r>
        <w:rPr>
          <w:rFonts w:ascii="Arial" w:cs="Arial" w:eastAsia="Arial" w:hAnsi="Arial"/>
          <w:b/>
          <w:bCs/>
          <w:sz w:val="22"/>
          <w:szCs w:val="22"/>
        </w:rPr>
        <w:t xml:space="preserve">Why: </w:t>
      </w:r>
      <w:r>
        <w:rPr>
          <w:rFonts w:ascii="Arial" w:cs="Arial" w:eastAsia="Arial" w:hAnsi="Arial"/>
          <w:sz w:val="22"/>
          <w:szCs w:val="22"/>
        </w:rPr>
        <w:t xml:space="preserve">churn is only 4.8%, and this segment produces 3% of all churners.</w:t>
      </w:r>
    </w:p>
    <w:p>
      <w:pPr>
        <w:pStyle w:val="ListParagraph"/>
        <w:keepNext w:val="false"/>
        <w:numPr>
          <w:ilvl w:val="0"/>
          <w:numId w:val="2"/>
        </w:numPr>
        <w:spacing w:after="80" w:line="276"/>
      </w:pPr>
      <w:r>
        <w:rPr>
          <w:rFonts w:ascii="Arial" w:cs="Arial" w:eastAsia="Arial" w:hAnsi="Arial"/>
          <w:sz w:val="22"/>
          <w:szCs w:val="22"/>
        </w:rPr>
        <w:t xml:space="preserve">Keep service reliable and avoid disruptive changes, but do not spend retention budget here.</w:t>
      </w:r>
    </w:p>
    <w:p>
      <w:pPr>
        <w:pStyle w:val="ListParagraph"/>
        <w:keepNext w:val="false"/>
        <w:numPr>
          <w:ilvl w:val="0"/>
          <w:numId w:val="2"/>
        </w:numPr>
        <w:spacing w:after="80" w:line="276"/>
      </w:pPr>
      <w:r>
        <w:rPr>
          <w:rFonts w:ascii="Arial" w:cs="Arial" w:eastAsia="Arial" w:hAnsi="Arial"/>
          <w:sz w:val="22"/>
          <w:szCs w:val="22"/>
        </w:rPr>
        <w:t xml:space="preserve">These stable customers are a natural group to invite to referral programmes.</w:t>
      </w:r>
    </w:p>
    <w:p>
      <w:pPr>
        <w:spacing w:after="120" w:line="276"/>
      </w:pPr>
      <w:r>
        <w:rPr>
          <w:rFonts w:ascii="Arial" w:cs="Arial" w:eastAsia="Arial" w:hAnsi="Arial"/>
          <w:b/>
          <w:bCs/>
          <w:sz w:val="22"/>
          <w:szCs w:val="22"/>
        </w:rPr>
        <w:t xml:space="preserve">Measure: </w:t>
      </w:r>
      <w:r>
        <w:rPr>
          <w:rFonts w:ascii="Arial" w:cs="Arial" w:eastAsia="Arial" w:hAnsi="Arial"/>
          <w:sz w:val="22"/>
          <w:szCs w:val="22"/>
        </w:rPr>
        <w:t xml:space="preserve">churn rate staying at or below 5%.</w:t>
      </w:r>
    </w:p>
    <w:p>
      <w:pPr>
        <w:pStyle w:val="Heading1"/>
        <w:keepNext/>
        <w:spacing w:after="140" w:before="320"/>
      </w:pPr>
      <w:r>
        <w:rPr>
          <w:rFonts w:ascii="Arial" w:cs="Arial" w:eastAsia="Arial" w:hAnsi="Arial"/>
        </w:rPr>
        <w:t xml:space="preserve">4. Targeting by Customer Characteristics</w:t>
      </w:r>
    </w:p>
    <w:p>
      <w:pPr>
        <w:keepNext/>
        <w:spacing w:after="120" w:line="276"/>
      </w:pPr>
      <w:r>
        <w:rPr>
          <w:rFonts w:ascii="Arial" w:cs="Arial" w:eastAsia="Arial" w:hAnsi="Arial"/>
          <w:sz w:val="22"/>
          <w:szCs w:val="22"/>
        </w:rPr>
        <w:t xml:space="preserve">Some characteristics cut across the segments and can be used to focus support and offers: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522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Group</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Churn rate</w:t>
            </w:r>
          </w:p>
        </w:tc>
        <w:tc>
          <w:tcPr>
            <w:tcW w:type="dxa" w:w="52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Suggested action</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Senior citizens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41.7%</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Offer assisted onboarding, simpler plans and the contact channel they prefer (for example a phone call rather than an app message).</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Customers without dependents</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31.3%</w:t>
            </w:r>
          </w:p>
        </w:tc>
        <w:tc>
          <w:tcPr>
            <w:tcW w:type="dxa" w:w="52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Include them in early outreach, since this group churns at twice the rate of customers with dependents.</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Customers with dependents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15.4%</w:t>
            </w:r>
          </w:p>
        </w:tc>
        <w:tc>
          <w:tcPr>
            <w:tcW w:type="dxa" w:w="52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Test household or family-style offers, as customers with family ties stay longer. This is an association and needs testing.</w:t>
            </w:r>
          </w:p>
        </w:tc>
      </w:tr>
    </w:tbl>
    <w:p>
      <w:pPr>
        <w:spacing w:after="140"/>
      </w:pPr>
    </w:p>
    <w:p>
      <w:pPr>
        <w:spacing w:after="120" w:line="276"/>
      </w:pPr>
      <w:r>
        <w:rPr>
          <w:rFonts w:ascii="Arial" w:cs="Arial" w:eastAsia="Arial" w:hAnsi="Arial"/>
          <w:b/>
          <w:bCs/>
          <w:sz w:val="22"/>
          <w:szCs w:val="22"/>
        </w:rPr>
        <w:t xml:space="preserve">Contract type is not recommended as a lever. </w:t>
      </w:r>
      <w:r>
        <w:rPr>
          <w:rFonts w:ascii="Arial" w:cs="Arial" w:eastAsia="Arial" w:hAnsi="Arial"/>
          <w:sz w:val="22"/>
          <w:szCs w:val="22"/>
        </w:rPr>
        <w:t xml:space="preserve">In this dataset, contract type showed no relationship with churn, so offers built around contract length are not supported by the data. This should be revisited if the contract field is confirmed to be accurate.</w:t>
      </w:r>
    </w:p>
    <w:p>
      <w:pPr>
        <w:pStyle w:val="Heading1"/>
        <w:keepNext/>
        <w:spacing w:after="140" w:before="320"/>
      </w:pPr>
      <w:r>
        <w:rPr>
          <w:rFonts w:ascii="Arial" w:cs="Arial" w:eastAsia="Arial" w:hAnsi="Arial"/>
        </w:rPr>
        <w:t xml:space="preserve">5. Using the ANN to Choose Who to Contact</w:t>
      </w:r>
    </w:p>
    <w:p>
      <w:pPr>
        <w:keepNext/>
        <w:spacing w:after="120" w:line="276"/>
      </w:pPr>
      <w:r>
        <w:rPr>
          <w:rFonts w:ascii="Arial" w:cs="Arial" w:eastAsia="Arial" w:hAnsi="Arial"/>
          <w:sz w:val="22"/>
          <w:szCs w:val="22"/>
        </w:rPr>
        <w:t xml:space="preserve">The trained ANN gives every customer a churn probability. A customer is added to the outreach list when the probability is above a chosen threshold. The threshold controls the trade-off between reaching more future leavers and contacting more customers who would have stayed. Results on the 1,409 unseen test customers (374 of whom actually churned):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800"/>
        <w:gridCol w:w="1500"/>
        <w:gridCol w:w="1626"/>
      </w:tblGrid>
      <w:tr>
        <w:trPr>
          <w:cantSplit/>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Threshold</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Customers contacted</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Leavers reached</w:t>
            </w:r>
          </w:p>
        </w:tc>
        <w:tc>
          <w:tcPr>
            <w:tcW w:type="dxa" w:w="1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Share of leavers</w:t>
            </w:r>
          </w:p>
        </w:tc>
        <w:tc>
          <w:tcPr>
            <w:tcW w:type="dxa" w:w="16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Contacted who would leave</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0.50 (default)</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313</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190</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50.8%</w:t>
            </w:r>
          </w:p>
        </w:tc>
        <w:tc>
          <w:tcPr>
            <w:tcW w:type="dxa" w:w="16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60.7%</w:t>
            </w:r>
          </w:p>
        </w:tc>
      </w:tr>
      <w:tr>
        <w:trPr>
          <w:cantSplit/>
        </w:trPr>
        <w:tc>
          <w:tcPr>
            <w:tcW w:type="dxa" w:w="2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0.39 (tuned)</w:t>
            </w:r>
          </w:p>
        </w:tc>
        <w:tc>
          <w:tcPr>
            <w:tcW w:type="dxa" w:w="1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433</w:t>
            </w:r>
          </w:p>
        </w:tc>
        <w:tc>
          <w:tcPr>
            <w:tcW w:type="dxa" w:w="18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239</w:t>
            </w:r>
          </w:p>
        </w:tc>
        <w:tc>
          <w:tcPr>
            <w:tcW w:type="dxa" w:w="15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63.9%</w:t>
            </w:r>
          </w:p>
        </w:tc>
        <w:tc>
          <w:tcPr>
            <w:tcW w:type="dxa" w:w="16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55.2%</w:t>
            </w:r>
          </w:p>
        </w:tc>
      </w:tr>
    </w:tbl>
    <w:p>
      <w:pPr>
        <w:spacing w:after="140"/>
      </w:pPr>
    </w:p>
    <w:p>
      <w:pPr>
        <w:pStyle w:val="ListParagraph"/>
        <w:keepNext w:val="false"/>
        <w:numPr>
          <w:ilvl w:val="0"/>
          <w:numId w:val="2"/>
        </w:numPr>
        <w:spacing w:after="80" w:line="276"/>
      </w:pPr>
      <w:r>
        <w:rPr>
          <w:rFonts w:ascii="Arial" w:cs="Arial" w:eastAsia="Arial" w:hAnsi="Arial"/>
          <w:b/>
          <w:bCs/>
          <w:sz w:val="22"/>
          <w:szCs w:val="22"/>
        </w:rPr>
        <w:t xml:space="preserve">Recommended default: 0.39. </w:t>
      </w:r>
      <w:r>
        <w:rPr>
          <w:rFonts w:ascii="Arial" w:cs="Arial" w:eastAsia="Arial" w:hAnsi="Arial"/>
          <w:sz w:val="22"/>
          <w:szCs w:val="22"/>
        </w:rPr>
        <w:t xml:space="preserve">It reaches 49 more leavers (a 26% increase) for 120 more contacts. This suits retention offers that are cheap relative to the value of a customer.</w:t>
      </w:r>
    </w:p>
    <w:p>
      <w:pPr>
        <w:pStyle w:val="ListParagraph"/>
        <w:keepNext w:val="false"/>
        <w:numPr>
          <w:ilvl w:val="0"/>
          <w:numId w:val="2"/>
        </w:numPr>
        <w:spacing w:after="80" w:line="276"/>
      </w:pPr>
      <w:r>
        <w:rPr>
          <w:rFonts w:ascii="Arial" w:cs="Arial" w:eastAsia="Arial" w:hAnsi="Arial"/>
          <w:b/>
          <w:bCs/>
          <w:sz w:val="22"/>
          <w:szCs w:val="22"/>
        </w:rPr>
        <w:t xml:space="preserve">Segment-specific thresholds. </w:t>
      </w:r>
      <w:r>
        <w:rPr>
          <w:rFonts w:ascii="Arial" w:cs="Arial" w:eastAsia="Arial" w:hAnsi="Arial"/>
          <w:sz w:val="22"/>
          <w:szCs w:val="22"/>
        </w:rPr>
        <w:t xml:space="preserve">In New Premium, the 0.39 threshold reaches 83% of leavers and 60% of contacted customers would have left. In New Budget, the default 0.50 contacts fewer customers (22% against 32%) and still reaches 42% of leavers, which may suit a lower-cost approach.</w:t>
      </w:r>
    </w:p>
    <w:p>
      <w:pPr>
        <w:pStyle w:val="ListParagraph"/>
        <w:keepNext w:val="false"/>
        <w:numPr>
          <w:ilvl w:val="0"/>
          <w:numId w:val="2"/>
        </w:numPr>
        <w:spacing w:after="80" w:line="276"/>
      </w:pPr>
      <w:r>
        <w:rPr>
          <w:rFonts w:ascii="Arial" w:cs="Arial" w:eastAsia="Arial" w:hAnsi="Arial"/>
          <w:b/>
          <w:bCs/>
          <w:sz w:val="22"/>
          <w:szCs w:val="22"/>
        </w:rPr>
        <w:t xml:space="preserve">Re-score regularly. </w:t>
      </w:r>
      <w:r>
        <w:rPr>
          <w:rFonts w:ascii="Arial" w:cs="Arial" w:eastAsia="Arial" w:hAnsi="Arial"/>
          <w:sz w:val="22"/>
          <w:szCs w:val="22"/>
        </w:rPr>
        <w:t xml:space="preserve">Scoring customers every month keeps the list current as tenure and charges change.</w:t>
      </w:r>
    </w:p>
    <w:p>
      <w:pPr>
        <w:pStyle w:val="ListParagraph"/>
        <w:keepNext w:val="false"/>
        <w:numPr>
          <w:ilvl w:val="0"/>
          <w:numId w:val="2"/>
        </w:numPr>
        <w:spacing w:after="80" w:line="276"/>
      </w:pPr>
      <w:r>
        <w:rPr>
          <w:rFonts w:ascii="Arial" w:cs="Arial" w:eastAsia="Arial" w:hAnsi="Arial"/>
          <w:b/>
          <w:bCs/>
          <w:sz w:val="22"/>
          <w:szCs w:val="22"/>
        </w:rPr>
        <w:t xml:space="preserve">Know the limit. </w:t>
      </w:r>
      <w:r>
        <w:rPr>
          <w:rFonts w:ascii="Arial" w:cs="Arial" w:eastAsia="Arial" w:hAnsi="Arial"/>
          <w:sz w:val="22"/>
          <w:szCs w:val="22"/>
        </w:rPr>
        <w:t xml:space="preserve">The model rarely flags loyal customers, so it should complement, not replace, the care described for Loyal Premium.</w:t>
      </w:r>
    </w:p>
    <w:p>
      <w:pPr>
        <w:pStyle w:val="Heading1"/>
        <w:keepNext/>
        <w:spacing w:after="140" w:before="320"/>
      </w:pPr>
      <w:r>
        <w:rPr>
          <w:rFonts w:ascii="Arial" w:cs="Arial" w:eastAsia="Arial" w:hAnsi="Arial"/>
        </w:rPr>
        <w:t xml:space="preserve">6. Implementation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5326"/>
      </w:tblGrid>
      <w:tr>
        <w:trPr>
          <w:cantSplit/>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Phase</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Timing</w:t>
            </w:r>
          </w:p>
        </w:tc>
        <w:tc>
          <w:tcPr>
            <w:tcW w:type="dxa" w:w="5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Activities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1. Set up</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Weeks 1 to 4</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Score all customers with the ANN, build the outreach list for New Premium, and agree offers and budget.</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2. Pilot</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Months 2 to 4</w:t>
            </w:r>
          </w:p>
        </w:tc>
        <w:tc>
          <w:tcPr>
            <w:tcW w:type="dxa" w:w="53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Run the first-year programme and offers on part of the New Premium and New Budget customers, keeping a comparison group untouched.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3. Evaluate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Months 4 to 6</w:t>
            </w:r>
          </w:p>
        </w:tc>
        <w:tc>
          <w:tcPr>
            <w:tcW w:type="dxa" w:w="5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Compare churn between treated and untreated customers, and measure the cost of each retained customer.</w:t>
            </w:r>
          </w:p>
        </w:tc>
      </w:tr>
      <w:tr>
        <w:trPr>
          <w:cantSplit/>
        </w:trPr>
        <w:tc>
          <w:tcPr>
            <w:tcW w:type="dxa" w:w="17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4. Scale and improve</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Month 6 onwards</w:t>
            </w:r>
          </w:p>
        </w:tc>
        <w:tc>
          <w:tcPr>
            <w:tcW w:type="dxa" w:w="53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Extend the successful actions to all customers, add new data sources and retrain the model.</w:t>
            </w:r>
          </w:p>
        </w:tc>
      </w:tr>
    </w:tbl>
    <w:p>
      <w:pPr>
        <w:pStyle w:val="Heading1"/>
        <w:keepNext/>
        <w:spacing w:after="140" w:before="320"/>
      </w:pPr>
      <w:r>
        <w:rPr>
          <w:rFonts w:ascii="Arial" w:cs="Arial" w:eastAsia="Arial" w:hAnsi="Arial"/>
        </w:rPr>
        <w:t xml:space="preserve">7. Measuring Success</w:t>
      </w:r>
    </w:p>
    <w:p>
      <w:pPr>
        <w:pStyle w:val="ListParagraph"/>
        <w:keepNext w:val="false"/>
        <w:numPr>
          <w:ilvl w:val="0"/>
          <w:numId w:val="2"/>
        </w:numPr>
        <w:spacing w:after="80" w:line="276"/>
      </w:pPr>
      <w:r>
        <w:rPr>
          <w:rFonts w:ascii="Arial" w:cs="Arial" w:eastAsia="Arial" w:hAnsi="Arial"/>
          <w:b/>
          <w:bCs/>
          <w:sz w:val="22"/>
          <w:szCs w:val="22"/>
        </w:rPr>
        <w:t xml:space="preserve">Baselines from this analysis: </w:t>
      </w:r>
      <w:r>
        <w:rPr>
          <w:rFonts w:ascii="Arial" w:cs="Arial" w:eastAsia="Arial" w:hAnsi="Arial"/>
          <w:sz w:val="22"/>
          <w:szCs w:val="22"/>
        </w:rPr>
        <w:t xml:space="preserve">overall churn 26.5%, New Premium 49.2%, New Budget 24.5%, Loyal Premium 15.7%, Loyal Budget 4.8%, first-year churn 47.4%.</w:t>
      </w:r>
    </w:p>
    <w:p>
      <w:pPr>
        <w:pStyle w:val="ListParagraph"/>
        <w:keepNext w:val="false"/>
        <w:numPr>
          <w:ilvl w:val="0"/>
          <w:numId w:val="2"/>
        </w:numPr>
        <w:spacing w:after="80" w:line="276"/>
      </w:pPr>
      <w:r>
        <w:rPr>
          <w:rFonts w:ascii="Arial" w:cs="Arial" w:eastAsia="Arial" w:hAnsi="Arial"/>
          <w:b/>
          <w:bCs/>
          <w:sz w:val="22"/>
          <w:szCs w:val="22"/>
        </w:rPr>
        <w:t xml:space="preserve">Use a control group. </w:t>
      </w:r>
      <w:r>
        <w:rPr>
          <w:rFonts w:ascii="Arial" w:cs="Arial" w:eastAsia="Arial" w:hAnsi="Arial"/>
          <w:sz w:val="22"/>
          <w:szCs w:val="22"/>
        </w:rPr>
        <w:t xml:space="preserve">Leave a random share of at-risk customers without an offer, so the true effect of the programme can be separated from normal variation.</w:t>
      </w:r>
    </w:p>
    <w:p>
      <w:pPr>
        <w:pStyle w:val="ListParagraph"/>
        <w:keepNext w:val="false"/>
        <w:numPr>
          <w:ilvl w:val="0"/>
          <w:numId w:val="2"/>
        </w:numPr>
        <w:spacing w:after="80" w:line="276"/>
      </w:pPr>
      <w:r>
        <w:rPr>
          <w:rFonts w:ascii="Arial" w:cs="Arial" w:eastAsia="Arial" w:hAnsi="Arial"/>
          <w:b/>
          <w:bCs/>
          <w:sz w:val="22"/>
          <w:szCs w:val="22"/>
        </w:rPr>
        <w:t xml:space="preserve">Track cost as well as churn. </w:t>
      </w:r>
      <w:r>
        <w:rPr>
          <w:rFonts w:ascii="Arial" w:cs="Arial" w:eastAsia="Arial" w:hAnsi="Arial"/>
          <w:sz w:val="22"/>
          <w:szCs w:val="22"/>
        </w:rPr>
        <w:t xml:space="preserve">Compare the cost of each offer with the revenue kept from customers who stay.</w:t>
      </w:r>
    </w:p>
    <w:p>
      <w:pPr>
        <w:pStyle w:val="ListParagraph"/>
        <w:keepNext w:val="false"/>
        <w:numPr>
          <w:ilvl w:val="0"/>
          <w:numId w:val="2"/>
        </w:numPr>
        <w:spacing w:after="80" w:line="276"/>
      </w:pPr>
      <w:r>
        <w:rPr>
          <w:rFonts w:ascii="Arial" w:cs="Arial" w:eastAsia="Arial" w:hAnsi="Arial"/>
          <w:b/>
          <w:bCs/>
          <w:sz w:val="22"/>
          <w:szCs w:val="22"/>
        </w:rPr>
        <w:t xml:space="preserve">Monitor the model. </w:t>
      </w:r>
      <w:r>
        <w:rPr>
          <w:rFonts w:ascii="Arial" w:cs="Arial" w:eastAsia="Arial" w:hAnsi="Arial"/>
          <w:sz w:val="22"/>
          <w:szCs w:val="22"/>
        </w:rPr>
        <w:t xml:space="preserve">Check each month that the share of leavers it reaches stays close to the 64% measured here, and retrain if it falls.</w:t>
      </w:r>
    </w:p>
    <w:p>
      <w:pPr>
        <w:keepNext/>
        <w:spacing w:after="120" w:line="276"/>
      </w:pPr>
      <w:r>
        <w:rPr>
          <w:rFonts w:ascii="Arial" w:cs="Arial" w:eastAsia="Arial" w:hAnsi="Arial"/>
          <w:sz w:val="22"/>
          <w:szCs w:val="22"/>
        </w:rPr>
        <w:t xml:space="preserve">For scale only, the table below shows how many customers would be kept if churn in each segment fell by one tenth. This is an illustration, not a forecast, and the real effect must come from the pilot.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2000"/>
        <w:gridCol w:w="3726"/>
      </w:tblGrid>
      <w:tr>
        <w:trPr>
          <w:cantSplit/>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left"/>
            </w:pPr>
            <w:r>
              <w:rPr>
                <w:rFonts w:ascii="Arial" w:cs="Arial" w:eastAsia="Arial" w:hAnsi="Arial"/>
                <w:b/>
                <w:bCs/>
                <w:color w:val="FFFFFF"/>
                <w:sz w:val="19"/>
                <w:szCs w:val="19"/>
              </w:rPr>
              <w:t xml:space="preserve">Segment</w:t>
            </w:r>
          </w:p>
        </w:tc>
        <w:tc>
          <w:tcPr>
            <w:tcW w:type="dxa" w:w="20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Customers who churned</w:t>
            </w:r>
          </w:p>
        </w:tc>
        <w:tc>
          <w:tcPr>
            <w:tcW w:type="dxa" w:w="3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keepNext/>
              <w:jc w:val="center"/>
            </w:pPr>
            <w:r>
              <w:rPr>
                <w:rFonts w:ascii="Arial" w:cs="Arial" w:eastAsia="Arial" w:hAnsi="Arial"/>
                <w:b/>
                <w:bCs/>
                <w:color w:val="FFFFFF"/>
                <w:sz w:val="19"/>
                <w:szCs w:val="19"/>
              </w:rPr>
              <w:t xml:space="preserve">Kept if churn fell by 10% (illustration)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New Premium (high risk)</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1,083</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about 108</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New Budget</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424</w:t>
            </w:r>
          </w:p>
        </w:tc>
        <w:tc>
          <w:tcPr>
            <w:tcW w:type="dxa" w:w="37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about 42</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left"/>
            </w:pPr>
            <w:r>
              <w:rPr>
                <w:rFonts w:ascii="Arial" w:cs="Arial" w:eastAsia="Arial" w:hAnsi="Arial"/>
                <w:b w:val="false"/>
                <w:bCs w:val="false"/>
                <w:sz w:val="19"/>
                <w:szCs w:val="19"/>
              </w:rPr>
              <w:t xml:space="preserve">Loyal Premium</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306</w:t>
            </w:r>
          </w:p>
        </w:tc>
        <w:tc>
          <w:tcPr>
            <w:tcW w:type="dxa" w:w="3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keepNext/>
              <w:jc w:val="center"/>
            </w:pPr>
            <w:r>
              <w:rPr>
                <w:rFonts w:ascii="Arial" w:cs="Arial" w:eastAsia="Arial" w:hAnsi="Arial"/>
                <w:b w:val="false"/>
                <w:bCs w:val="false"/>
                <w:sz w:val="19"/>
                <w:szCs w:val="19"/>
              </w:rPr>
              <w:t xml:space="preserve">about 31</w:t>
            </w:r>
          </w:p>
        </w:tc>
      </w:tr>
      <w:tr>
        <w:trPr>
          <w:cantSplit/>
        </w:trPr>
        <w:tc>
          <w:tcPr>
            <w:tcW w:type="dxa" w:w="33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left"/>
            </w:pPr>
            <w:r>
              <w:rPr>
                <w:rFonts w:ascii="Arial" w:cs="Arial" w:eastAsia="Arial" w:hAnsi="Arial"/>
                <w:b w:val="false"/>
                <w:bCs w:val="false"/>
                <w:sz w:val="19"/>
                <w:szCs w:val="19"/>
              </w:rPr>
              <w:t xml:space="preserve">Loyal Budget</w:t>
            </w:r>
          </w:p>
        </w:tc>
        <w:tc>
          <w:tcPr>
            <w:tcW w:type="dxa" w:w="2000"/>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56</w:t>
            </w:r>
          </w:p>
        </w:tc>
        <w:tc>
          <w:tcPr>
            <w:tcW w:type="dxa" w:w="3726"/>
            <w:tcBorders>
              <w:top w:val="single" w:color="BFBFBF" w:sz="4"/>
              <w:left w:val="single" w:color="BFBFBF" w:sz="4"/>
              <w:bottom w:val="single" w:color="BFBFBF" w:sz="4"/>
              <w:right w:val="single" w:color="BFBFBF" w:sz="4"/>
            </w:tcBorders>
            <w:shd w:fill="F5F7FA" w:color="auto" w:val="clear"/>
            <w:tcMar>
              <w:top w:type="dxa" w:w="70"/>
              <w:left w:type="dxa" w:w="110"/>
              <w:bottom w:type="dxa" w:w="70"/>
              <w:right w:type="dxa" w:w="110"/>
            </w:tcMar>
          </w:tcPr>
          <w:p>
            <w:pPr>
              <w:keepNext w:val="false"/>
              <w:jc w:val="center"/>
            </w:pPr>
            <w:r>
              <w:rPr>
                <w:rFonts w:ascii="Arial" w:cs="Arial" w:eastAsia="Arial" w:hAnsi="Arial"/>
                <w:b w:val="false"/>
                <w:bCs w:val="false"/>
                <w:sz w:val="19"/>
                <w:szCs w:val="19"/>
              </w:rPr>
              <w:t xml:space="preserve">about 6</w:t>
            </w:r>
          </w:p>
        </w:tc>
      </w:tr>
    </w:tbl>
    <w:p>
      <w:pPr>
        <w:spacing w:after="140"/>
      </w:pPr>
    </w:p>
    <w:p>
      <w:pPr>
        <w:spacing w:after="120" w:line="276"/>
      </w:pPr>
      <w:r>
        <w:rPr>
          <w:rFonts w:ascii="Arial" w:cs="Arial" w:eastAsia="Arial" w:hAnsi="Arial"/>
          <w:sz w:val="22"/>
          <w:szCs w:val="22"/>
        </w:rPr>
        <w:t xml:space="preserve">The table shows why effort is best spent on the two New segments, where most of the churners are.</w:t>
      </w:r>
    </w:p>
    <w:sectPr>
      <w:footerReference w:type="default" r:id="rId7"/>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8"/>
        <w:szCs w:val="18"/>
      </w:rPr>
      <w:t xml:space="preserve">Retention Recommendations  |  Page </w:t>
    </w:r>
    <w:r>
      <w:rPr>
        <w:rFonts w:ascii="Arial" w:cs="Arial" w:eastAsia="Arial" w:hAnsi="Arial"/>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Recommendations for Targeted Retention Strategies</dc:title>
  <dc:creator>Data Analyst - Predictive Modeling</dc:creator>
  <cp:lastModifiedBy>Un-named</cp:lastModifiedBy>
  <cp:revision>1</cp:revision>
  <dcterms:created xsi:type="dcterms:W3CDTF">2026-10-08T11:04:30.827Z</dcterms:created>
  <dcterms:modified xsi:type="dcterms:W3CDTF">2026-10-08T11:04:30.851Z</dcterms:modified>
</cp:coreProperties>
</file>

<file path=docProps/custom.xml><?xml version="1.0" encoding="utf-8"?>
<Properties xmlns="http://schemas.openxmlformats.org/officeDocument/2006/custom-properties" xmlns:vt="http://schemas.openxmlformats.org/officeDocument/2006/docPropsVTypes"/>
</file>