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966" w:rsidRPr="00643966" w:rsidRDefault="00643966" w:rsidP="00643966">
      <w:pPr>
        <w:shd w:val="clear" w:color="auto" w:fill="E9E9E9"/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ES"/>
        </w:rPr>
      </w:pPr>
      <w:r w:rsidRPr="00643966">
        <w:rPr>
          <w:rFonts w:ascii="inherit" w:eastAsia="Times New Roman" w:hAnsi="inherit" w:cs="Times New Roman"/>
          <w:sz w:val="21"/>
          <w:szCs w:val="21"/>
          <w:lang w:eastAsia="es-ES"/>
        </w:rPr>
        <w:t>Especificaciones del artículo</w:t>
      </w:r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 xml:space="preserve">Nombre de la </w:t>
      </w: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marca: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YK&amp;SCAN</w:t>
      </w:r>
      <w:proofErr w:type="spellEnd"/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 xml:space="preserve">Tipo de </w:t>
      </w: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Producto: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Escáner</w:t>
      </w:r>
      <w:proofErr w:type="spellEnd"/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 de código de barras</w:t>
      </w:r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Novedad: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Nueva</w:t>
      </w:r>
      <w:proofErr w:type="spellEnd"/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 xml:space="preserve">Tipo de </w:t>
      </w: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elemento: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CMOS</w:t>
      </w:r>
      <w:proofErr w:type="spellEnd"/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 xml:space="preserve">Escaneo fuente de </w:t>
      </w: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luz: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LED</w:t>
      </w:r>
      <w:proofErr w:type="spellEnd"/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 xml:space="preserve">Time </w:t>
      </w: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to</w:t>
      </w:r>
      <w:proofErr w:type="spellEnd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 xml:space="preserve"> mercado: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Mar-13</w:t>
      </w:r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Tipo: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Escáner</w:t>
      </w:r>
      <w:proofErr w:type="spellEnd"/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 de código de barras</w:t>
      </w:r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Ancho escaner: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A4</w:t>
      </w:r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Profundidad de color: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32 Bit</w:t>
      </w:r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Número de modelo: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E3000H</w:t>
      </w:r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Velocidad de Análisis: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350 Times/ </w:t>
      </w:r>
      <w:proofErr w:type="spellStart"/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Second</w:t>
      </w:r>
      <w:proofErr w:type="spellEnd"/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Resolución óptica: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960*640</w:t>
      </w:r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Interfaz: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USB</w:t>
      </w:r>
      <w:proofErr w:type="spellEnd"/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/TTL232</w:t>
      </w:r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Operating</w:t>
      </w:r>
      <w:proofErr w:type="spellEnd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Current</w:t>
      </w:r>
      <w:proofErr w:type="spellEnd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 xml:space="preserve"> 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240mA</w:t>
      </w:r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Symbologies</w:t>
      </w:r>
      <w:proofErr w:type="spellEnd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 xml:space="preserve"> 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1D/2D </w:t>
      </w:r>
      <w:proofErr w:type="spellStart"/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codes</w:t>
      </w:r>
      <w:proofErr w:type="spellEnd"/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Sleep</w:t>
      </w:r>
      <w:proofErr w:type="spellEnd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Current</w:t>
      </w:r>
      <w:proofErr w:type="spellEnd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 xml:space="preserve"> 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6mA</w:t>
      </w:r>
    </w:p>
    <w:p w:rsidR="00643966" w:rsidRPr="00643966" w:rsidRDefault="00643966" w:rsidP="0064396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Operating</w:t>
      </w:r>
      <w:proofErr w:type="spellEnd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>Voltage</w:t>
      </w:r>
      <w:proofErr w:type="spellEnd"/>
      <w:r w:rsidRPr="0064396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lang w:eastAsia="es-ES"/>
        </w:rPr>
        <w:t xml:space="preserve"> :</w:t>
      </w:r>
      <w:r w:rsidRPr="0064396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3.3V</w:t>
      </w:r>
    </w:p>
    <w:p w:rsidR="00236900" w:rsidRDefault="00643966"/>
    <w:p w:rsidR="00643966" w:rsidRDefault="00643966"/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72"/>
          <w:szCs w:val="72"/>
          <w:lang w:eastAsia="es-ES"/>
        </w:rPr>
      </w:pPr>
      <w:r w:rsidRPr="00643966">
        <w:rPr>
          <w:rFonts w:ascii="Courier New" w:eastAsia="Times New Roman" w:hAnsi="Courier New" w:cs="Courier New"/>
          <w:color w:val="000000"/>
          <w:kern w:val="36"/>
          <w:sz w:val="72"/>
          <w:szCs w:val="72"/>
          <w:bdr w:val="none" w:sz="0" w:space="0" w:color="auto" w:frame="1"/>
          <w:lang w:eastAsia="es-ES"/>
        </w:rPr>
        <w:t>Motor de escaneo 2D de bajo consumo de energía E3000H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r w:rsidRPr="00643966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Está diseñado para proporcionar un mayor rendimiento y fiabilidad, simplifica la integración en dispositivos móviles y permite una mayor velocidad de escaneo de código de barras para satisfacer los requisitos de aplicación de mayor volumen.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643966">
        <w:rPr>
          <w:rFonts w:ascii="inherit" w:eastAsia="Times New Roman" w:hAnsi="inherit" w:cs="Arial"/>
          <w:b/>
          <w:bCs/>
          <w:color w:val="000000"/>
          <w:sz w:val="72"/>
          <w:szCs w:val="72"/>
          <w:bdr w:val="none" w:sz="0" w:space="0" w:color="auto" w:frame="1"/>
          <w:lang w:eastAsia="es-ES"/>
        </w:rPr>
        <w:t>Symobologies</w:t>
      </w:r>
      <w:proofErr w:type="spellEnd"/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: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lastRenderedPageBreak/>
        <w:t xml:space="preserve">1D: EAN-8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EAN-13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EAN-13 a</w:t>
      </w:r>
      <w:r w:rsidRPr="00643966">
        <w:rPr>
          <w:rFonts w:ascii="Cambria" w:eastAsia="Times New Roman" w:hAnsi="Cambria" w:cs="Cambr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ñ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adir 2-En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EAN-13 5 agregar en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ISSN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ISBN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UPC-E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c</w:t>
      </w:r>
      <w:r w:rsidRPr="00643966">
        <w:rPr>
          <w:rFonts w:ascii="Cambria" w:eastAsia="Times New Roman" w:hAnsi="Cambria" w:cs="Cambr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ó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digo 11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C</w:t>
      </w:r>
      <w:r w:rsidRPr="00643966">
        <w:rPr>
          <w:rFonts w:ascii="Cambria" w:eastAsia="Times New Roman" w:hAnsi="Cambria" w:cs="Cambr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ó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digo 39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c</w:t>
      </w:r>
      <w:r w:rsidRPr="00643966">
        <w:rPr>
          <w:rFonts w:ascii="Cambria" w:eastAsia="Times New Roman" w:hAnsi="Cambria" w:cs="Cambr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ó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digo de 93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c</w:t>
      </w:r>
      <w:r w:rsidRPr="00643966">
        <w:rPr>
          <w:rFonts w:ascii="Cambria" w:eastAsia="Times New Roman" w:hAnsi="Cambria" w:cs="Cambr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ó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digo 128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proofErr w:type="spellStart"/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Codabar</w:t>
      </w:r>
      <w:proofErr w:type="spellEnd"/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Industrial 2 de 5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entrelazado 2 de 5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MSI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GS1 </w:t>
      </w:r>
      <w:proofErr w:type="spellStart"/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DataBar</w:t>
      </w:r>
      <w:proofErr w:type="spellEnd"/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(RSS14);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2D: PDF417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proofErr w:type="spellStart"/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MIcroQR</w:t>
      </w:r>
      <w:proofErr w:type="spellEnd"/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proofErr w:type="spellStart"/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Datamxtrix</w:t>
      </w:r>
      <w:proofErr w:type="spellEnd"/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QR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GS1 </w:t>
      </w:r>
      <w:r w:rsidRPr="00643966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、</w:t>
      </w: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 azteca;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Interfaz: USB/TTL232/RS232/USB-COM Virtual;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 xml:space="preserve">Velocidad de escaneo: 30 </w:t>
      </w:r>
      <w:proofErr w:type="spellStart"/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fps</w:t>
      </w:r>
      <w:proofErr w:type="spellEnd"/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/segundo;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Voltaje de funcionamiento: 3,3 V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Dimensión:</w:t>
      </w:r>
      <w:r w:rsidRPr="00643966">
        <w:rPr>
          <w:rFonts w:ascii="inherit" w:eastAsia="Times New Roman" w:hAnsi="inherit" w:cs="Arial"/>
          <w:b/>
          <w:bCs/>
          <w:color w:val="0070C0"/>
          <w:sz w:val="27"/>
          <w:szCs w:val="27"/>
          <w:bdr w:val="none" w:sz="0" w:space="0" w:color="auto" w:frame="1"/>
          <w:lang w:eastAsia="es-ES"/>
        </w:rPr>
        <w:t>21mm * 14mm * 8mm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b/>
          <w:bCs/>
          <w:color w:val="000000"/>
          <w:sz w:val="54"/>
          <w:szCs w:val="54"/>
          <w:bdr w:val="none" w:sz="0" w:space="0" w:color="auto" w:frame="1"/>
          <w:lang w:eastAsia="es-ES"/>
        </w:rPr>
        <w:t>Capítulo: Interfaz</w:t>
      </w:r>
    </w:p>
    <w:p w:rsidR="00643966" w:rsidRPr="00643966" w:rsidRDefault="00643966" w:rsidP="0064396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ES"/>
        </w:rPr>
        <w:t>Conector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 siguiente figura es un esquema del conector E3000H. Utiliza una toma de contacto inferior ZIF de 12 pines y está conectado al periférico (host) con un cable flexible. El icono inferior muestra el tamaño del enchufe (Unidad: mm).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3676650" cy="2819400"/>
            <wp:effectExtent l="0" t="0" r="0" b="0"/>
            <wp:docPr id="11" name="Imagen 11" descr="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66" w:rsidRPr="00643966" w:rsidRDefault="00643966" w:rsidP="0064396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b/>
          <w:bCs/>
          <w:color w:val="000000"/>
          <w:sz w:val="33"/>
          <w:szCs w:val="33"/>
          <w:bdr w:val="none" w:sz="0" w:space="0" w:color="auto" w:frame="1"/>
          <w:lang w:eastAsia="es-ES"/>
        </w:rPr>
        <w:t>Cable plano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 cable flexible de 12 pines utilizado en el conector E3000H se puede diseñar como el mismo cable o de diferentes lados según la aplicación. Las especificaciones deben cumplir los siguientes requisitos. Para garantizar la fiabilidad y la estabilidad de la conexión, utiliza un material de refuerzo en el extremo de la conexión del cable y reduce la impedancia en el cable.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4714875" cy="2714625"/>
            <wp:effectExtent l="0" t="0" r="9525" b="9525"/>
            <wp:docPr id="10" name="Imagen 10" descr="flat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at c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El E3000H se comunicará con el ordenador host de las siguientes maneras: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Señal de nivel TTL (TTL-232): esta interfaz permite la mayoría de las arquitecturas del sistema. Para algunos sistemas que requieren un factor de forma del RS-232, se requiere un circuito de conversión del TTL-232 al RS-232.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sym w:font="Symbol" w:char="F0B2"/>
      </w:r>
      <w:r w:rsidRPr="00643966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 xml:space="preserve"> USB HID-KBW: un dispositivo de emulación de teclado basado en USB que se puede conectar directamente A un PC sin necesidad de instalar un controlador.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La interfaz de comunicación serie TTL-232 disponible en E3000H Admite velocidades de BPS a bps. La configuración predeterminada de la interfaz de comunicación en serie del E3000H es 9600bps, 8 bits de datos, sin paridad y 1 bit de parada. Las funciones de control de flujo de hardware y control de flujo de software de la interfaz de comunicación en serie no se proporcionan en la E3000H.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5400040" cy="2969895"/>
            <wp:effectExtent l="0" t="0" r="0" b="1905"/>
            <wp:docPr id="9" name="Imagen 9" descr="E3000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3000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66" w:rsidRPr="00643966" w:rsidRDefault="00643966" w:rsidP="0064396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b/>
          <w:bCs/>
          <w:color w:val="000000"/>
          <w:sz w:val="54"/>
          <w:szCs w:val="54"/>
          <w:lang w:eastAsia="es-ES"/>
        </w:rPr>
        <w:t>Definición de pines</w:t>
      </w:r>
    </w:p>
    <w:tbl>
      <w:tblPr>
        <w:tblW w:w="102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1561"/>
        <w:gridCol w:w="1542"/>
        <w:gridCol w:w="6323"/>
      </w:tblGrid>
      <w:tr w:rsidR="00643966" w:rsidRPr="00643966" w:rsidTr="00643966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134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PIN #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189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Señal de nombre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556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/O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953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Definición</w:t>
            </w:r>
          </w:p>
        </w:tc>
      </w:tr>
      <w:tr w:rsidR="00643966" w:rsidRPr="00643966" w:rsidTr="00643966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76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NC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NC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-</w:t>
            </w:r>
          </w:p>
        </w:tc>
      </w:tr>
      <w:tr w:rsidR="00643966" w:rsidRPr="00643966" w:rsidTr="00643966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77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VDD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-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3,3 V de entrada de alimentación</w:t>
            </w:r>
          </w:p>
        </w:tc>
      </w:tr>
      <w:tr w:rsidR="00643966" w:rsidRPr="00643966" w:rsidTr="00643966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77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GND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-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GND</w:t>
            </w:r>
          </w:p>
        </w:tc>
      </w:tr>
      <w:tr w:rsidR="00643966" w:rsidRPr="00643966" w:rsidTr="00643966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78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RX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59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De entrada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TTL-232 de entrada</w:t>
            </w:r>
          </w:p>
        </w:tc>
      </w:tr>
      <w:tr w:rsidR="00643966" w:rsidRPr="00643966" w:rsidTr="00643966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79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TX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59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De salida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TTL-232 de salida</w:t>
            </w:r>
          </w:p>
        </w:tc>
      </w:tr>
      <w:tr w:rsidR="00643966" w:rsidRPr="00643966" w:rsidTr="00643966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75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USB_D-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61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De entrada/salida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USB_D-</w:t>
            </w:r>
            <w:proofErr w:type="spellStart"/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signal</w:t>
            </w:r>
            <w:proofErr w:type="spellEnd"/>
          </w:p>
        </w:tc>
      </w:tr>
      <w:tr w:rsidR="00643966" w:rsidRPr="00643966" w:rsidTr="00643966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80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USB_D +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61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De entrada/salida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USB_D + señal</w:t>
            </w:r>
          </w:p>
        </w:tc>
      </w:tr>
      <w:tr w:rsidR="00643966" w:rsidRPr="00643966" w:rsidTr="00643966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80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NG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59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-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Null</w:t>
            </w:r>
            <w:proofErr w:type="spellEnd"/>
          </w:p>
        </w:tc>
      </w:tr>
      <w:tr w:rsidR="00643966" w:rsidRPr="00643966" w:rsidTr="00643966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lastRenderedPageBreak/>
              <w:t>9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76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Buzz</w:t>
            </w:r>
            <w:proofErr w:type="spellEnd"/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59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De salida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643966" w:rsidRPr="00643966" w:rsidTr="00643966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66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80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LED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59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De salida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643966" w:rsidRPr="00643966" w:rsidTr="00643966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66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76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NG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59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-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643966" w:rsidRPr="00643966" w:rsidTr="00643966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66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77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NTrig</w:t>
            </w:r>
            <w:proofErr w:type="spellEnd"/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ind w:right="259"/>
              <w:textAlignment w:val="baseline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  <w:r w:rsidRPr="0064396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  <w:t>De entrada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966" w:rsidRPr="00643966" w:rsidRDefault="00643966" w:rsidP="0064396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643966" w:rsidRPr="00643966" w:rsidRDefault="00643966" w:rsidP="0064396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b/>
          <w:bCs/>
          <w:color w:val="000000"/>
          <w:sz w:val="33"/>
          <w:szCs w:val="33"/>
          <w:bdr w:val="none" w:sz="0" w:space="0" w:color="auto" w:frame="1"/>
          <w:lang w:eastAsia="es-ES"/>
        </w:rPr>
        <w:t>Placa de desarrollo para E3000H: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ES"/>
        </w:rPr>
        <w:t xml:space="preserve">Si necesitas usar el E3000H con cable USB, puedes comprarlo con nuestro </w:t>
      </w:r>
      <w:proofErr w:type="spellStart"/>
      <w:r w:rsidRPr="00643966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ES"/>
        </w:rPr>
        <w:t>borad</w:t>
      </w:r>
      <w:proofErr w:type="spellEnd"/>
      <w:r w:rsidRPr="00643966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ES"/>
        </w:rPr>
        <w:t xml:space="preserve"> de desarrollo para hacer la prueba fácilmente.</w:t>
      </w:r>
    </w:p>
    <w:p w:rsidR="00643966" w:rsidRPr="00643966" w:rsidRDefault="00643966" w:rsidP="006439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3966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5400040" cy="2344420"/>
            <wp:effectExtent l="0" t="0" r="0" b="0"/>
            <wp:docPr id="8" name="Imagen 8" descr="https://ae01.alicdn.com/kf/HTB1oZbsXPLuK1Rjy0Fhq6xpdFX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e01.alicdn.com/kf/HTB1oZbsXPLuK1Rjy0Fhq6xpdFXa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966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5400040" cy="5400040"/>
            <wp:effectExtent l="0" t="0" r="0" b="0"/>
            <wp:docPr id="7" name="Imagen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966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5400040" cy="5400040"/>
            <wp:effectExtent l="0" t="0" r="0" b="0"/>
            <wp:docPr id="6" name="Imagen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966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5400040" cy="5400040"/>
            <wp:effectExtent l="0" t="0" r="0" b="0"/>
            <wp:docPr id="5" name="Imagen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966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5400040" cy="5400040"/>
            <wp:effectExtent l="0" t="0" r="0" b="0"/>
            <wp:docPr id="4" name="Imagen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966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5400040" cy="5400040"/>
            <wp:effectExtent l="0" t="0" r="0" b="0"/>
            <wp:docPr id="3" name="Imagen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966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5400040" cy="5400040"/>
            <wp:effectExtent l="0" t="0" r="0" b="0"/>
            <wp:docPr id="2" name="Imagen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966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5400040" cy="5400040"/>
            <wp:effectExtent l="0" t="0" r="0" b="0"/>
            <wp:docPr id="1" name="Imagen 1" descr="HTB1R6tKeyqAXuNjy1Xdq6yYcVX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B1R6tKeyqAXuNjy1Xdq6yYcVXa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66" w:rsidRDefault="00643966">
      <w:bookmarkStart w:id="0" w:name="_GoBack"/>
      <w:bookmarkEnd w:id="0"/>
    </w:p>
    <w:sectPr w:rsidR="00643966" w:rsidSect="0064396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481E"/>
    <w:multiLevelType w:val="multilevel"/>
    <w:tmpl w:val="C1E8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241A4F"/>
    <w:multiLevelType w:val="multilevel"/>
    <w:tmpl w:val="E278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275B8C"/>
    <w:multiLevelType w:val="multilevel"/>
    <w:tmpl w:val="A9EC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66"/>
    <w:rsid w:val="00643966"/>
    <w:rsid w:val="00C217B4"/>
    <w:rsid w:val="00FE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7354"/>
  <w15:chartTrackingRefBased/>
  <w15:docId w15:val="{27767797-CE22-44F1-A86D-BE65FC15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39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perty-item">
    <w:name w:val="property-item"/>
    <w:basedOn w:val="Normal"/>
    <w:rsid w:val="0064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ropery-title">
    <w:name w:val="propery-title"/>
    <w:basedOn w:val="Fuentedeprrafopredeter"/>
    <w:rsid w:val="00643966"/>
  </w:style>
  <w:style w:type="character" w:customStyle="1" w:styleId="propery-des">
    <w:name w:val="propery-des"/>
    <w:basedOn w:val="Fuentedeprrafopredeter"/>
    <w:rsid w:val="00643966"/>
  </w:style>
  <w:style w:type="character" w:customStyle="1" w:styleId="Ttulo1Car">
    <w:name w:val="Título 1 Car"/>
    <w:basedOn w:val="Fuentedeprrafopredeter"/>
    <w:link w:val="Ttulo1"/>
    <w:uiPriority w:val="9"/>
    <w:rsid w:val="0064396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4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439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Rodríguez Pérez</dc:creator>
  <cp:keywords/>
  <dc:description/>
  <cp:lastModifiedBy>Juan Manuel Rodríguez Pérez</cp:lastModifiedBy>
  <cp:revision>1</cp:revision>
  <dcterms:created xsi:type="dcterms:W3CDTF">2019-05-05T14:23:00Z</dcterms:created>
  <dcterms:modified xsi:type="dcterms:W3CDTF">2019-05-05T14:25:00Z</dcterms:modified>
</cp:coreProperties>
</file>