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8BD9C" w14:textId="77777777" w:rsidR="000E202F" w:rsidRDefault="000E202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8B413" wp14:editId="3290F8C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9197975" cy="6045835"/>
                <wp:effectExtent l="57150" t="38100" r="79375" b="8826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7975" cy="60458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47C6C" w14:textId="77777777" w:rsidR="00616E43" w:rsidRPr="000430CA" w:rsidRDefault="00710C43" w:rsidP="00117543">
                            <w:pPr>
                              <w:jc w:val="center"/>
                              <w:rPr>
                                <w:b/>
                                <w:smallCaps/>
                                <w:color w:val="FF0000"/>
                                <w:sz w:val="220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0000"/>
                                <w:sz w:val="144"/>
                              </w:rPr>
                              <w:t>Le Vieillissement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B413" id="Rectangle 1" o:spid="_x0000_s1026" style="position:absolute;margin-left:0;margin-top:0;width:724.25pt;height:476.0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center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7EA47C6C" w14:textId="77777777" w:rsidR="00616E43" w:rsidRPr="000430CA" w:rsidRDefault="00710C43" w:rsidP="00117543">
                      <w:pPr>
                        <w:jc w:val="center"/>
                        <w:rPr>
                          <w:b/>
                          <w:smallCaps/>
                          <w:color w:val="FF0000"/>
                          <w:sz w:val="220"/>
                        </w:rPr>
                      </w:pPr>
                      <w:r>
                        <w:rPr>
                          <w:b/>
                          <w:smallCaps/>
                          <w:color w:val="FF0000"/>
                          <w:sz w:val="144"/>
                        </w:rPr>
                        <w:t>Le Vieillissement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61"/>
        <w:gridCol w:w="7860"/>
      </w:tblGrid>
      <w:tr w:rsidR="000E202F" w14:paraId="10C2354B" w14:textId="77777777" w:rsidTr="00C13691">
        <w:trPr>
          <w:trHeight w:val="3669"/>
        </w:trPr>
        <w:tc>
          <w:tcPr>
            <w:tcW w:w="11181" w:type="dxa"/>
          </w:tcPr>
          <w:p w14:paraId="4B5EE60F" w14:textId="77777777" w:rsidR="000E202F" w:rsidRPr="000430CA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12ACA5DE" w14:textId="77777777" w:rsidR="000E202F" w:rsidRPr="000430CA" w:rsidRDefault="000E202F" w:rsidP="00C13691">
            <w:pPr>
              <w:rPr>
                <w:b/>
              </w:rPr>
            </w:pPr>
          </w:p>
          <w:p w14:paraId="0463F604" w14:textId="77777777" w:rsidR="000E202F" w:rsidRPr="000430CA" w:rsidRDefault="000E202F" w:rsidP="000E202F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1181" w:type="dxa"/>
          </w:tcPr>
          <w:p w14:paraId="09E1AC0E" w14:textId="77777777" w:rsidR="000E202F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31925C32" w14:textId="77777777" w:rsidR="000E202F" w:rsidRDefault="000E202F" w:rsidP="00C13691">
            <w:pPr>
              <w:rPr>
                <w:b/>
                <w:sz w:val="40"/>
              </w:rPr>
            </w:pPr>
          </w:p>
          <w:p w14:paraId="56E7AC1A" w14:textId="77777777" w:rsidR="000E202F" w:rsidRPr="0024500B" w:rsidRDefault="000E202F" w:rsidP="00C13691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</w:tr>
      <w:tr w:rsidR="000E202F" w14:paraId="21671605" w14:textId="77777777" w:rsidTr="00C13691">
        <w:trPr>
          <w:trHeight w:val="5512"/>
        </w:trPr>
        <w:tc>
          <w:tcPr>
            <w:tcW w:w="11181" w:type="dxa"/>
          </w:tcPr>
          <w:p w14:paraId="05833B8B" w14:textId="77777777" w:rsidR="000E202F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168FE6F1" w14:textId="77777777" w:rsidR="000E202F" w:rsidRPr="000430CA" w:rsidRDefault="000E202F" w:rsidP="000E202F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</w:p>
        </w:tc>
        <w:tc>
          <w:tcPr>
            <w:tcW w:w="11181" w:type="dxa"/>
          </w:tcPr>
          <w:p w14:paraId="299B5BCE" w14:textId="77777777" w:rsidR="000E202F" w:rsidRDefault="000E202F" w:rsidP="00C13691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481DC6C7" w14:textId="77777777" w:rsidR="000E202F" w:rsidRDefault="000E202F" w:rsidP="00C13691">
            <w:pPr>
              <w:rPr>
                <w:b/>
                <w:sz w:val="40"/>
              </w:rPr>
            </w:pPr>
          </w:p>
          <w:p w14:paraId="395F8B12" w14:textId="77777777" w:rsidR="000E202F" w:rsidRPr="000430CA" w:rsidRDefault="000E202F" w:rsidP="00C13691">
            <w:pPr>
              <w:pStyle w:val="Paragraphedeliste"/>
              <w:numPr>
                <w:ilvl w:val="0"/>
                <w:numId w:val="1"/>
              </w:numPr>
              <w:jc w:val="both"/>
              <w:rPr>
                <w:b/>
                <w:sz w:val="40"/>
              </w:rPr>
            </w:pPr>
          </w:p>
        </w:tc>
      </w:tr>
    </w:tbl>
    <w:p w14:paraId="0AC4878D" w14:textId="77777777" w:rsidR="00117543" w:rsidRDefault="00117543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061"/>
        <w:gridCol w:w="7860"/>
      </w:tblGrid>
      <w:tr w:rsidR="00117543" w14:paraId="0954159B" w14:textId="77777777" w:rsidTr="009F646C">
        <w:trPr>
          <w:trHeight w:val="4391"/>
        </w:trPr>
        <w:tc>
          <w:tcPr>
            <w:tcW w:w="11181" w:type="dxa"/>
            <w:vAlign w:val="center"/>
          </w:tcPr>
          <w:p w14:paraId="3090D582" w14:textId="77777777" w:rsidR="00117543" w:rsidRPr="000430CA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lastRenderedPageBreak/>
              <w:t>Les premiers signes :</w:t>
            </w:r>
          </w:p>
          <w:p w14:paraId="3F5BB94A" w14:textId="77777777" w:rsidR="00117543" w:rsidRPr="00D56C44" w:rsidRDefault="00117543" w:rsidP="009F646C">
            <w:pPr>
              <w:rPr>
                <w:bCs/>
              </w:rPr>
            </w:pPr>
          </w:p>
          <w:p w14:paraId="4018F685" w14:textId="10CD240B" w:rsidR="00C87F4B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C’est le changement physique comme la prise ou la perte de poids. Les douleurs dans les articulations réduisent l’exécution dans les mouvements.</w:t>
            </w:r>
          </w:p>
          <w:p w14:paraId="28EC6635" w14:textId="3B59D5E3" w:rsidR="000706FF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Il y a un desséchement de la peau ;</w:t>
            </w:r>
          </w:p>
          <w:p w14:paraId="006F33D8" w14:textId="1F48854D" w:rsidR="000706FF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Un abaissement de la résistance immunitaire ;</w:t>
            </w:r>
          </w:p>
          <w:p w14:paraId="48C8EF32" w14:textId="5E7EB3BF" w:rsidR="00117543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Déchaussement dentaire avec risque de perte des dents ;</w:t>
            </w:r>
          </w:p>
          <w:p w14:paraId="18B61B98" w14:textId="070CFD34" w:rsidR="000706FF" w:rsidRPr="000430CA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D56C44">
              <w:rPr>
                <w:bCs/>
                <w:sz w:val="22"/>
                <w:szCs w:val="20"/>
              </w:rPr>
              <w:t>La personne peut devenir plus sensible émotionnellement.</w:t>
            </w:r>
          </w:p>
        </w:tc>
        <w:tc>
          <w:tcPr>
            <w:tcW w:w="11181" w:type="dxa"/>
            <w:vAlign w:val="center"/>
          </w:tcPr>
          <w:p w14:paraId="1D4D5071" w14:textId="77777777" w:rsidR="00117543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symptômes :</w:t>
            </w:r>
          </w:p>
          <w:p w14:paraId="3A13B7B2" w14:textId="77777777" w:rsidR="0024500B" w:rsidRPr="000706FF" w:rsidRDefault="0024500B" w:rsidP="009F646C">
            <w:pPr>
              <w:rPr>
                <w:b/>
                <w:szCs w:val="24"/>
              </w:rPr>
            </w:pPr>
          </w:p>
          <w:p w14:paraId="56C6D651" w14:textId="59569401" w:rsidR="00D56C44" w:rsidRPr="00D56C44" w:rsidRDefault="000706FF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Chez les personnes âgées, il existe plusieurs critères révélateur</w:t>
            </w:r>
            <w:r w:rsidR="00D56C44" w:rsidRPr="00D56C44">
              <w:rPr>
                <w:bCs/>
                <w:sz w:val="22"/>
                <w:szCs w:val="20"/>
              </w:rPr>
              <w:t>s</w:t>
            </w:r>
            <w:r w:rsidRPr="00D56C44">
              <w:rPr>
                <w:bCs/>
                <w:sz w:val="22"/>
                <w:szCs w:val="20"/>
              </w:rPr>
              <w:t xml:space="preserve"> de fragilité accrue :</w:t>
            </w:r>
          </w:p>
          <w:p w14:paraId="58833738" w14:textId="77777777" w:rsidR="00F45B1D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Fatigue chronique ;</w:t>
            </w:r>
          </w:p>
          <w:p w14:paraId="08A97A26" w14:textId="5C7868BC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Faiblesse à la marche ;</w:t>
            </w:r>
          </w:p>
          <w:p w14:paraId="58EF11DB" w14:textId="756B83D1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Marche plus lente ;</w:t>
            </w:r>
          </w:p>
          <w:p w14:paraId="04754280" w14:textId="10DC76F9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Endurance amoindrie ;</w:t>
            </w:r>
          </w:p>
          <w:p w14:paraId="45154E23" w14:textId="487AACC5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Retrait de la vie sociale ;</w:t>
            </w:r>
          </w:p>
          <w:p w14:paraId="2828FB23" w14:textId="77777777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Inflammation chronique ;</w:t>
            </w:r>
          </w:p>
          <w:p w14:paraId="04D2D5C2" w14:textId="77777777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Problème digestif ;</w:t>
            </w:r>
          </w:p>
          <w:p w14:paraId="10C9807F" w14:textId="77777777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D56C44">
              <w:rPr>
                <w:bCs/>
                <w:sz w:val="22"/>
                <w:szCs w:val="20"/>
              </w:rPr>
              <w:t>Incontinence urinaire et/ou fécale</w:t>
            </w:r>
          </w:p>
          <w:p w14:paraId="7C4F4D44" w14:textId="2762BA50" w:rsidR="00D56C44" w:rsidRPr="00D56C44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  <w:r w:rsidRPr="00D56C44">
              <w:rPr>
                <w:bCs/>
                <w:sz w:val="22"/>
                <w:szCs w:val="20"/>
              </w:rPr>
              <w:t>Brouillard cérébrale</w:t>
            </w:r>
          </w:p>
        </w:tc>
      </w:tr>
      <w:tr w:rsidR="00117543" w14:paraId="44D128F3" w14:textId="77777777" w:rsidTr="00C750A6">
        <w:trPr>
          <w:trHeight w:val="4941"/>
        </w:trPr>
        <w:tc>
          <w:tcPr>
            <w:tcW w:w="11181" w:type="dxa"/>
            <w:vAlign w:val="center"/>
          </w:tcPr>
          <w:p w14:paraId="79CD7DFF" w14:textId="61F1C329" w:rsidR="00117543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Les conséquences :</w:t>
            </w:r>
          </w:p>
          <w:p w14:paraId="12D8D4FD" w14:textId="77777777" w:rsidR="00D56C44" w:rsidRPr="00D56C44" w:rsidRDefault="00D56C44" w:rsidP="009F646C">
            <w:pPr>
              <w:rPr>
                <w:b/>
                <w:szCs w:val="24"/>
              </w:rPr>
            </w:pPr>
          </w:p>
          <w:p w14:paraId="07A89FDA" w14:textId="580C7521" w:rsidR="00F45B1D" w:rsidRPr="009117B6" w:rsidRDefault="00D56C44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 xml:space="preserve">Pour certain, le vieillissement est une fatalité puisqu’elle représente </w:t>
            </w:r>
            <w:r w:rsidR="009117B6" w:rsidRPr="009117B6">
              <w:rPr>
                <w:bCs/>
                <w:sz w:val="22"/>
                <w:szCs w:val="20"/>
              </w:rPr>
              <w:t xml:space="preserve">le changement physique, la diminution des fonctions cognitives. L’apparition plus ou moins importante de la dépendance. Elle s’accompagne souvent du sentiment de devenir inutile et d’être un poids pour son entourage. </w:t>
            </w:r>
          </w:p>
          <w:p w14:paraId="6B0920EB" w14:textId="1B4F9E18" w:rsidR="00F45B1D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Perte auditi</w:t>
            </w:r>
            <w:r w:rsidR="009117B6">
              <w:rPr>
                <w:bCs/>
                <w:sz w:val="22"/>
                <w:szCs w:val="20"/>
              </w:rPr>
              <w:t>ve</w:t>
            </w:r>
          </w:p>
          <w:p w14:paraId="5840D673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Trouble de la vue (presbytie, cataracte, DMLA (</w:t>
            </w:r>
            <w:r w:rsidRPr="009117B6">
              <w:rPr>
                <w:bCs/>
                <w:i/>
                <w:sz w:val="16"/>
                <w:szCs w:val="20"/>
              </w:rPr>
              <w:t>DÉGÉNÉRESCENCE MACULAIRE LIÉE À L’ÂGE</w:t>
            </w:r>
            <w:r w:rsidRPr="009117B6">
              <w:rPr>
                <w:bCs/>
                <w:sz w:val="22"/>
                <w:szCs w:val="20"/>
              </w:rPr>
              <w:t>))</w:t>
            </w:r>
          </w:p>
          <w:p w14:paraId="4A6FD604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Ménopause</w:t>
            </w:r>
          </w:p>
          <w:p w14:paraId="3F7221EF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Courbures squelettique (tassement des os, Dos voûter)</w:t>
            </w:r>
          </w:p>
          <w:p w14:paraId="5876E452" w14:textId="77777777" w:rsidR="00C87F4B" w:rsidRPr="00D56C44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/>
              </w:rPr>
            </w:pPr>
          </w:p>
        </w:tc>
        <w:tc>
          <w:tcPr>
            <w:tcW w:w="11181" w:type="dxa"/>
            <w:vAlign w:val="center"/>
          </w:tcPr>
          <w:p w14:paraId="6422081C" w14:textId="77777777" w:rsidR="00117543" w:rsidRDefault="00117543" w:rsidP="009F646C">
            <w:pPr>
              <w:rPr>
                <w:b/>
                <w:sz w:val="40"/>
              </w:rPr>
            </w:pPr>
            <w:r w:rsidRPr="000430CA">
              <w:rPr>
                <w:b/>
                <w:sz w:val="40"/>
              </w:rPr>
              <w:t>Le devenir de la personne :</w:t>
            </w:r>
          </w:p>
          <w:p w14:paraId="089E10B6" w14:textId="77777777" w:rsidR="00C87F4B" w:rsidRPr="009117B6" w:rsidRDefault="00C87F4B" w:rsidP="009F646C">
            <w:pPr>
              <w:rPr>
                <w:b/>
                <w:szCs w:val="24"/>
              </w:rPr>
            </w:pPr>
          </w:p>
          <w:p w14:paraId="32F3D73B" w14:textId="77777777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 xml:space="preserve">Le vieillissement entraîne la mort des cellules. C’est un phénomène naturel. Le processus du vieillissement commence à l’âge de 25 ans. Chaque personne ne vieillit pas de la même manière, nous n’avons pas tous le même capital de bon gène. </w:t>
            </w:r>
          </w:p>
          <w:p w14:paraId="4F94C65A" w14:textId="2CD1C0B8" w:rsidR="00C87F4B" w:rsidRPr="009117B6" w:rsidRDefault="00C87F4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A 45 ans certaine personnes seront déjà âgé</w:t>
            </w:r>
            <w:r w:rsidR="009F646C">
              <w:rPr>
                <w:bCs/>
                <w:sz w:val="22"/>
                <w:szCs w:val="20"/>
              </w:rPr>
              <w:t>es</w:t>
            </w:r>
            <w:r w:rsidRPr="009117B6">
              <w:rPr>
                <w:bCs/>
                <w:sz w:val="22"/>
                <w:szCs w:val="20"/>
              </w:rPr>
              <w:t xml:space="preserve"> et d’autre </w:t>
            </w:r>
            <w:r w:rsidR="0024500B" w:rsidRPr="009117B6">
              <w:rPr>
                <w:bCs/>
                <w:sz w:val="22"/>
                <w:szCs w:val="20"/>
              </w:rPr>
              <w:t>à</w:t>
            </w:r>
            <w:r w:rsidRPr="009117B6">
              <w:rPr>
                <w:bCs/>
                <w:sz w:val="22"/>
                <w:szCs w:val="20"/>
              </w:rPr>
              <w:t xml:space="preserve"> 85 ans seront encore très jeunes et nécessitera pas </w:t>
            </w:r>
            <w:r w:rsidR="0024500B" w:rsidRPr="009117B6">
              <w:rPr>
                <w:bCs/>
                <w:sz w:val="22"/>
                <w:szCs w:val="20"/>
              </w:rPr>
              <w:t xml:space="preserve">d’aide importante. </w:t>
            </w:r>
          </w:p>
          <w:p w14:paraId="198A5552" w14:textId="70F65AB0" w:rsidR="0024500B" w:rsidRPr="009117B6" w:rsidRDefault="0024500B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Chaque personne à son vécu, à sa propre santé, donc ne pas projeter la santé d’un individu à un autre.</w:t>
            </w:r>
          </w:p>
          <w:p w14:paraId="3601FAC3" w14:textId="218AA954" w:rsidR="009117B6" w:rsidRPr="009117B6" w:rsidRDefault="009117B6" w:rsidP="009F646C">
            <w:pPr>
              <w:pStyle w:val="Paragraphedeliste"/>
              <w:numPr>
                <w:ilvl w:val="0"/>
                <w:numId w:val="1"/>
              </w:numPr>
              <w:rPr>
                <w:bCs/>
                <w:sz w:val="22"/>
                <w:szCs w:val="20"/>
              </w:rPr>
            </w:pPr>
            <w:r w:rsidRPr="009117B6">
              <w:rPr>
                <w:bCs/>
                <w:sz w:val="22"/>
                <w:szCs w:val="20"/>
              </w:rPr>
              <w:t>Au besoin une personne âgée de plus de 60 ans peut être pris en charge par un établissement avec un personnel soignant adapté à sa santé, afin de recevoir l’aide et les soins adapté à ses besoins</w:t>
            </w:r>
          </w:p>
          <w:p w14:paraId="6AF7F078" w14:textId="77777777" w:rsidR="0024500B" w:rsidRPr="000430CA" w:rsidRDefault="0024500B" w:rsidP="009F646C">
            <w:pPr>
              <w:pStyle w:val="Paragraphedeliste"/>
              <w:numPr>
                <w:ilvl w:val="0"/>
                <w:numId w:val="1"/>
              </w:numPr>
              <w:rPr>
                <w:b/>
                <w:sz w:val="40"/>
              </w:rPr>
            </w:pPr>
            <w:r w:rsidRPr="009117B6">
              <w:rPr>
                <w:bCs/>
                <w:sz w:val="22"/>
                <w:szCs w:val="20"/>
              </w:rPr>
              <w:t>La vieillesse accompagne la personne jusqu’à la mort.</w:t>
            </w:r>
          </w:p>
        </w:tc>
      </w:tr>
    </w:tbl>
    <w:p w14:paraId="271CC7C6" w14:textId="77777777" w:rsidR="007B0831" w:rsidRDefault="00D148FC"/>
    <w:sectPr w:rsidR="007B0831" w:rsidSect="002450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9" w:h="11907" w:orient="landscape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3C978" w14:textId="77777777" w:rsidR="00C750A6" w:rsidRDefault="00C750A6" w:rsidP="00C750A6">
      <w:pPr>
        <w:spacing w:after="0" w:line="240" w:lineRule="auto"/>
      </w:pPr>
      <w:r>
        <w:separator/>
      </w:r>
    </w:p>
  </w:endnote>
  <w:endnote w:type="continuationSeparator" w:id="0">
    <w:p w14:paraId="7E255EB2" w14:textId="77777777" w:rsidR="00C750A6" w:rsidRDefault="00C750A6" w:rsidP="00C75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67BA" w14:textId="77777777" w:rsidR="00C750A6" w:rsidRDefault="00C750A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7E95" w14:textId="77777777" w:rsidR="00C750A6" w:rsidRDefault="00C750A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74EDF" w14:textId="77777777" w:rsidR="00C750A6" w:rsidRDefault="00C750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829D1" w14:textId="77777777" w:rsidR="00C750A6" w:rsidRDefault="00C750A6" w:rsidP="00C750A6">
      <w:pPr>
        <w:spacing w:after="0" w:line="240" w:lineRule="auto"/>
      </w:pPr>
      <w:r>
        <w:separator/>
      </w:r>
    </w:p>
  </w:footnote>
  <w:footnote w:type="continuationSeparator" w:id="0">
    <w:p w14:paraId="47ECC5FD" w14:textId="77777777" w:rsidR="00C750A6" w:rsidRDefault="00C750A6" w:rsidP="00C75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7DFE1" w14:textId="775F1F78" w:rsidR="00C750A6" w:rsidRDefault="00C750A6">
    <w:pPr>
      <w:pStyle w:val="En-tte"/>
    </w:pPr>
    <w:r>
      <w:rPr>
        <w:noProof/>
      </w:rPr>
      <w:pict w14:anchorId="173F6D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75704" o:spid="_x0000_s2050" type="#_x0000_t136" style="position:absolute;margin-left:0;margin-top:0;width:703.2pt;height:5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95483" w14:textId="7BC1B5BD" w:rsidR="00C750A6" w:rsidRDefault="00C750A6">
    <w:pPr>
      <w:pStyle w:val="En-tte"/>
    </w:pPr>
    <w:r>
      <w:rPr>
        <w:noProof/>
      </w:rPr>
      <w:pict w14:anchorId="1C36C21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75705" o:spid="_x0000_s2051" type="#_x0000_t136" style="position:absolute;margin-left:0;margin-top:0;width:703.2pt;height:5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0CEB8" w14:textId="614EFA70" w:rsidR="00C750A6" w:rsidRDefault="00C750A6">
    <w:pPr>
      <w:pStyle w:val="En-tte"/>
    </w:pPr>
    <w:r>
      <w:rPr>
        <w:noProof/>
      </w:rPr>
      <w:pict w14:anchorId="5415BF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75703" o:spid="_x0000_s2049" type="#_x0000_t136" style="position:absolute;margin-left:0;margin-top:0;width:703.2pt;height:5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" string="Michaël PRUVOST FORMATEU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170A1"/>
    <w:multiLevelType w:val="hybridMultilevel"/>
    <w:tmpl w:val="10DAF55A"/>
    <w:lvl w:ilvl="0" w:tplc="B67A187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43"/>
    <w:rsid w:val="000706FF"/>
    <w:rsid w:val="000E202F"/>
    <w:rsid w:val="00117543"/>
    <w:rsid w:val="0024500B"/>
    <w:rsid w:val="004829B0"/>
    <w:rsid w:val="00616E43"/>
    <w:rsid w:val="00710C43"/>
    <w:rsid w:val="007A7527"/>
    <w:rsid w:val="009117B6"/>
    <w:rsid w:val="009A6C7E"/>
    <w:rsid w:val="009F646C"/>
    <w:rsid w:val="00A95508"/>
    <w:rsid w:val="00C750A6"/>
    <w:rsid w:val="00C87F4B"/>
    <w:rsid w:val="00D148FC"/>
    <w:rsid w:val="00D56C44"/>
    <w:rsid w:val="00F33403"/>
    <w:rsid w:val="00F4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C036A38"/>
  <w15:docId w15:val="{4DD7C5C3-CB8F-4FDF-A6BF-4330B256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543"/>
  </w:style>
  <w:style w:type="paragraph" w:styleId="Titre1">
    <w:name w:val="heading 1"/>
    <w:basedOn w:val="Normal"/>
    <w:link w:val="Titre1Car"/>
    <w:uiPriority w:val="9"/>
    <w:qFormat/>
    <w:rsid w:val="00C87F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17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1754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87F4B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ev">
    <w:name w:val="Strong"/>
    <w:basedOn w:val="Policepardfaut"/>
    <w:uiPriority w:val="22"/>
    <w:qFormat/>
    <w:rsid w:val="00C87F4B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50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500B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C75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50A6"/>
  </w:style>
  <w:style w:type="paragraph" w:styleId="Pieddepage">
    <w:name w:val="footer"/>
    <w:basedOn w:val="Normal"/>
    <w:link w:val="PieddepageCar"/>
    <w:uiPriority w:val="99"/>
    <w:unhideWhenUsed/>
    <w:rsid w:val="00C750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50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6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Michaël PRUVOST</dc:creator>
  <cp:lastModifiedBy>Michael PRUVOST</cp:lastModifiedBy>
  <cp:revision>8</cp:revision>
  <cp:lastPrinted>2021-10-27T10:56:00Z</cp:lastPrinted>
  <dcterms:created xsi:type="dcterms:W3CDTF">2021-08-13T08:54:00Z</dcterms:created>
  <dcterms:modified xsi:type="dcterms:W3CDTF">2021-11-30T12:57:00Z</dcterms:modified>
</cp:coreProperties>
</file>