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581E" w:rsidRPr="009E581E" w:rsidRDefault="009E581E" w:rsidP="009E581E">
      <w:pPr>
        <w:pBdr>
          <w:top w:val="single" w:sz="4" w:space="1" w:color="auto"/>
          <w:left w:val="single" w:sz="4" w:space="4" w:color="auto"/>
          <w:bottom w:val="single" w:sz="4" w:space="1" w:color="auto"/>
          <w:right w:val="single" w:sz="4" w:space="4" w:color="auto"/>
        </w:pBdr>
        <w:jc w:val="center"/>
        <w:rPr>
          <w:rFonts w:ascii="Tahoma" w:hAnsi="Tahoma" w:cs="Tahoma"/>
          <w:b/>
          <w:bCs/>
          <w:color w:val="FF0000"/>
        </w:rPr>
      </w:pPr>
      <w:r w:rsidRPr="009E581E">
        <w:rPr>
          <w:rFonts w:ascii="Tahoma" w:hAnsi="Tahoma" w:cs="Tahoma"/>
          <w:b/>
          <w:bCs/>
          <w:color w:val="FF0000"/>
        </w:rPr>
        <w:t>LES 7 ÉTAPES DU DEUIL</w:t>
      </w:r>
    </w:p>
    <w:p w:rsidR="009E581E" w:rsidRDefault="009E581E" w:rsidP="009E581E">
      <w:pPr>
        <w:rPr>
          <w:rFonts w:ascii="Tahoma" w:hAnsi="Tahoma" w:cs="Tahoma"/>
          <w:b/>
          <w:bCs/>
        </w:rPr>
      </w:pPr>
    </w:p>
    <w:p w:rsidR="009E581E" w:rsidRPr="009E581E" w:rsidRDefault="009E581E" w:rsidP="009E581E">
      <w:pPr>
        <w:rPr>
          <w:rFonts w:ascii="Tahoma" w:hAnsi="Tahoma" w:cs="Tahoma"/>
        </w:rPr>
      </w:pPr>
      <w:r w:rsidRPr="009E581E">
        <w:rPr>
          <w:rFonts w:ascii="Tahoma" w:hAnsi="Tahoma" w:cs="Tahoma"/>
          <w:b/>
          <w:bCs/>
        </w:rPr>
        <w:t>1 – Choc et déni</w:t>
      </w:r>
    </w:p>
    <w:p w:rsidR="009E581E" w:rsidRPr="009E581E" w:rsidRDefault="009E581E" w:rsidP="009E581E">
      <w:pPr>
        <w:rPr>
          <w:rFonts w:ascii="Tahoma" w:hAnsi="Tahoma" w:cs="Tahoma"/>
        </w:rPr>
      </w:pPr>
      <w:r w:rsidRPr="009E581E">
        <w:rPr>
          <w:rFonts w:ascii="Tahoma" w:hAnsi="Tahoma" w:cs="Tahoma"/>
        </w:rPr>
        <w:t>La personne éprouve un choc à l’annonce de la perte.</w:t>
      </w:r>
      <w:r w:rsidRPr="009E581E">
        <w:rPr>
          <w:rFonts w:ascii="Tahoma" w:hAnsi="Tahoma" w:cs="Tahoma"/>
        </w:rPr>
        <w:br/>
        <w:t>Le choc est un mécanisme de défense inconscient envers une situation qu’une personne pense ne pas pouvoir gérer. Lors de cette phase la personne nie l’information reçue, pense qu’elle rêve et ne supporte pas qu’on la ramène à la réalité, la douleur étant insupportable.</w:t>
      </w:r>
      <w:r w:rsidRPr="009E581E">
        <w:rPr>
          <w:rFonts w:ascii="Tahoma" w:hAnsi="Tahoma" w:cs="Tahoma"/>
        </w:rPr>
        <w:br/>
        <w:t>La personne en état de choc n’est plus capable d’effectuer les tâches les plus simples et les décisions de bases.</w:t>
      </w:r>
    </w:p>
    <w:p w:rsidR="009E581E" w:rsidRPr="009E581E" w:rsidRDefault="009E581E" w:rsidP="009E581E">
      <w:pPr>
        <w:rPr>
          <w:rFonts w:ascii="Tahoma" w:hAnsi="Tahoma" w:cs="Tahoma"/>
        </w:rPr>
      </w:pPr>
      <w:r w:rsidRPr="009E581E">
        <w:rPr>
          <w:rFonts w:ascii="Tahoma" w:hAnsi="Tahoma" w:cs="Tahoma"/>
          <w:b/>
          <w:bCs/>
        </w:rPr>
        <w:t>2 – Douleur et culpabilité</w:t>
      </w:r>
    </w:p>
    <w:p w:rsidR="009E581E" w:rsidRPr="009E581E" w:rsidRDefault="009E581E" w:rsidP="009E581E">
      <w:pPr>
        <w:rPr>
          <w:rFonts w:ascii="Tahoma" w:hAnsi="Tahoma" w:cs="Tahoma"/>
        </w:rPr>
      </w:pPr>
      <w:r w:rsidRPr="009E581E">
        <w:rPr>
          <w:rFonts w:ascii="Tahoma" w:hAnsi="Tahoma" w:cs="Tahoma"/>
        </w:rPr>
        <w:t>Lors de cette étape, la personne endeuillée se rend compte que la perte est réelle.</w:t>
      </w:r>
    </w:p>
    <w:p w:rsidR="009E581E" w:rsidRPr="009E581E" w:rsidRDefault="009E581E" w:rsidP="009E581E">
      <w:pPr>
        <w:rPr>
          <w:rFonts w:ascii="Tahoma" w:hAnsi="Tahoma" w:cs="Tahoma"/>
        </w:rPr>
      </w:pPr>
      <w:r w:rsidRPr="009E581E">
        <w:rPr>
          <w:rFonts w:ascii="Tahoma" w:hAnsi="Tahoma" w:cs="Tahoma"/>
        </w:rPr>
        <w:t>C’est une phase chaotique et effrayante car la personne ressent une douleur psychique intense. Certaines personnes ont besoin de l’aide de médicaments ou compensent avec de l’alcool.</w:t>
      </w:r>
    </w:p>
    <w:p w:rsidR="009E581E" w:rsidRPr="009E581E" w:rsidRDefault="009E581E" w:rsidP="009E581E">
      <w:pPr>
        <w:rPr>
          <w:rFonts w:ascii="Tahoma" w:hAnsi="Tahoma" w:cs="Tahoma"/>
        </w:rPr>
      </w:pPr>
      <w:r w:rsidRPr="009E581E">
        <w:rPr>
          <w:rFonts w:ascii="Tahoma" w:hAnsi="Tahoma" w:cs="Tahoma"/>
        </w:rPr>
        <w:t>La douleur pousse parfois la personne endeuillée à sentir de la culpabilité, à se considérer comme responsable de la perte.</w:t>
      </w:r>
    </w:p>
    <w:p w:rsidR="009E581E" w:rsidRPr="009E581E" w:rsidRDefault="009E581E" w:rsidP="009E581E">
      <w:pPr>
        <w:rPr>
          <w:rFonts w:ascii="Tahoma" w:hAnsi="Tahoma" w:cs="Tahoma"/>
        </w:rPr>
      </w:pPr>
      <w:r w:rsidRPr="009E581E">
        <w:rPr>
          <w:rFonts w:ascii="Tahoma" w:hAnsi="Tahoma" w:cs="Tahoma"/>
          <w:b/>
          <w:bCs/>
        </w:rPr>
        <w:t>3 – Colère</w:t>
      </w:r>
    </w:p>
    <w:p w:rsidR="009E581E" w:rsidRPr="009E581E" w:rsidRDefault="009E581E" w:rsidP="009E581E">
      <w:pPr>
        <w:rPr>
          <w:rFonts w:ascii="Tahoma" w:hAnsi="Tahoma" w:cs="Tahoma"/>
        </w:rPr>
      </w:pPr>
      <w:r w:rsidRPr="009E581E">
        <w:rPr>
          <w:rFonts w:ascii="Tahoma" w:hAnsi="Tahoma" w:cs="Tahoma"/>
        </w:rPr>
        <w:t>La colère reflète le sentiment d’injustice légitime que la personne ressent face à ce qui lui est arrivé. Elle choisit parfois inconsciemment de dévier cette colère sur une personne désignée comme responsable de la perte.</w:t>
      </w:r>
      <w:r w:rsidRPr="009E581E">
        <w:rPr>
          <w:rFonts w:ascii="Tahoma" w:hAnsi="Tahoma" w:cs="Tahoma"/>
        </w:rPr>
        <w:br/>
        <w:t>La conscience aigüe de la perte pousse la personne à souffrir bruyamment.  Cette forme d’expression de la douleur est importante et permet de la soulager.</w:t>
      </w:r>
    </w:p>
    <w:p w:rsidR="009E581E" w:rsidRPr="009E581E" w:rsidRDefault="009E581E" w:rsidP="009E581E">
      <w:pPr>
        <w:rPr>
          <w:rFonts w:ascii="Tahoma" w:hAnsi="Tahoma" w:cs="Tahoma"/>
        </w:rPr>
      </w:pPr>
      <w:r w:rsidRPr="009E581E">
        <w:rPr>
          <w:rFonts w:ascii="Tahoma" w:hAnsi="Tahoma" w:cs="Tahoma"/>
          <w:b/>
          <w:bCs/>
        </w:rPr>
        <w:t>4 – Marchandage</w:t>
      </w:r>
    </w:p>
    <w:p w:rsidR="009E581E" w:rsidRPr="009E581E" w:rsidRDefault="009E581E" w:rsidP="009E581E">
      <w:pPr>
        <w:rPr>
          <w:rFonts w:ascii="Tahoma" w:hAnsi="Tahoma" w:cs="Tahoma"/>
        </w:rPr>
      </w:pPr>
      <w:r w:rsidRPr="009E581E">
        <w:rPr>
          <w:rFonts w:ascii="Tahoma" w:hAnsi="Tahoma" w:cs="Tahoma"/>
        </w:rPr>
        <w:t>Lors de cette phase, la personne tente de minimiser la perte.  Elle voudrait imaginer un autre scénario, une manière d’inverser la situation ou de la compenser.  La personne en deuil se sent frustrée et blâme parfois les autres pour la perte subie.</w:t>
      </w:r>
      <w:r w:rsidRPr="009E581E">
        <w:rPr>
          <w:rFonts w:ascii="Tahoma" w:hAnsi="Tahoma" w:cs="Tahoma"/>
        </w:rPr>
        <w:br/>
        <w:t>Alors même que dans la majorité des cas ce blâme ne soit pas justifié, la personne en souffrance n’est pas en état de le comprendre et d’accepter cette réalité.</w:t>
      </w:r>
      <w:r w:rsidRPr="009E581E">
        <w:rPr>
          <w:rFonts w:ascii="Tahoma" w:hAnsi="Tahoma" w:cs="Tahoma"/>
        </w:rPr>
        <w:br/>
        <w:t>C’est une période de très grande vulnérabilité.</w:t>
      </w:r>
    </w:p>
    <w:p w:rsidR="009E581E" w:rsidRPr="009E581E" w:rsidRDefault="009E581E" w:rsidP="009E581E">
      <w:pPr>
        <w:rPr>
          <w:rFonts w:ascii="Tahoma" w:hAnsi="Tahoma" w:cs="Tahoma"/>
        </w:rPr>
      </w:pPr>
      <w:r w:rsidRPr="009E581E">
        <w:rPr>
          <w:rFonts w:ascii="Tahoma" w:hAnsi="Tahoma" w:cs="Tahoma"/>
          <w:b/>
          <w:bCs/>
        </w:rPr>
        <w:t>5 – Dépression et douleur</w:t>
      </w:r>
    </w:p>
    <w:p w:rsidR="009E581E" w:rsidRPr="009E581E" w:rsidRDefault="009E581E" w:rsidP="009E581E">
      <w:pPr>
        <w:rPr>
          <w:rFonts w:ascii="Tahoma" w:hAnsi="Tahoma" w:cs="Tahoma"/>
        </w:rPr>
      </w:pPr>
      <w:r w:rsidRPr="009E581E">
        <w:rPr>
          <w:rFonts w:ascii="Tahoma" w:hAnsi="Tahoma" w:cs="Tahoma"/>
        </w:rPr>
        <w:t>Ici, la personne accepte la perte et ses conséquences apparaissent concrètement.</w:t>
      </w:r>
    </w:p>
    <w:p w:rsidR="009E581E" w:rsidRPr="009E581E" w:rsidRDefault="009E581E" w:rsidP="009E581E">
      <w:pPr>
        <w:rPr>
          <w:rFonts w:ascii="Tahoma" w:hAnsi="Tahoma" w:cs="Tahoma"/>
        </w:rPr>
      </w:pPr>
      <w:r w:rsidRPr="009E581E">
        <w:rPr>
          <w:rFonts w:ascii="Tahoma" w:hAnsi="Tahoma" w:cs="Tahoma"/>
        </w:rPr>
        <w:t>Dépression, perte de moral, la personne en deuil est au désespoir et se comporte passivement. Malheureusement, certaines personnes s’arrêtent à ce stade…</w:t>
      </w:r>
    </w:p>
    <w:p w:rsidR="009E581E" w:rsidRDefault="009E581E" w:rsidP="009E581E">
      <w:pPr>
        <w:rPr>
          <w:rFonts w:ascii="Tahoma" w:hAnsi="Tahoma" w:cs="Tahoma"/>
        </w:rPr>
      </w:pPr>
      <w:r w:rsidRPr="009E581E">
        <w:rPr>
          <w:rFonts w:ascii="Tahoma" w:hAnsi="Tahoma" w:cs="Tahoma"/>
        </w:rPr>
        <w:t>En fait, cette dépression est le signe d’une amélioration psychique face au deuil.  C’est un moment structurant du processus de deuil.</w:t>
      </w:r>
    </w:p>
    <w:p w:rsidR="009E581E" w:rsidRDefault="009E581E" w:rsidP="009E581E">
      <w:pPr>
        <w:rPr>
          <w:rFonts w:ascii="Tahoma" w:hAnsi="Tahoma" w:cs="Tahoma"/>
        </w:rPr>
      </w:pPr>
    </w:p>
    <w:p w:rsidR="009E581E" w:rsidRDefault="009E581E" w:rsidP="009E581E">
      <w:pPr>
        <w:rPr>
          <w:rFonts w:ascii="Tahoma" w:hAnsi="Tahoma" w:cs="Tahoma"/>
        </w:rPr>
      </w:pPr>
    </w:p>
    <w:p w:rsidR="009E581E" w:rsidRPr="009E581E" w:rsidRDefault="009E581E" w:rsidP="009E581E">
      <w:pPr>
        <w:rPr>
          <w:rFonts w:ascii="Tahoma" w:hAnsi="Tahoma" w:cs="Tahoma"/>
        </w:rPr>
      </w:pPr>
    </w:p>
    <w:p w:rsidR="009E581E" w:rsidRPr="009E581E" w:rsidRDefault="009E581E" w:rsidP="009E581E">
      <w:pPr>
        <w:rPr>
          <w:rFonts w:ascii="Tahoma" w:hAnsi="Tahoma" w:cs="Tahoma"/>
        </w:rPr>
      </w:pPr>
      <w:r w:rsidRPr="009E581E">
        <w:rPr>
          <w:rFonts w:ascii="Tahoma" w:hAnsi="Tahoma" w:cs="Tahoma"/>
          <w:b/>
          <w:bCs/>
        </w:rPr>
        <w:lastRenderedPageBreak/>
        <w:t>6 – Reconstruction</w:t>
      </w:r>
    </w:p>
    <w:p w:rsidR="009E581E" w:rsidRPr="009E581E" w:rsidRDefault="009E581E" w:rsidP="009E581E">
      <w:pPr>
        <w:rPr>
          <w:rFonts w:ascii="Tahoma" w:hAnsi="Tahoma" w:cs="Tahoma"/>
        </w:rPr>
      </w:pPr>
      <w:r w:rsidRPr="009E581E">
        <w:rPr>
          <w:rFonts w:ascii="Tahoma" w:hAnsi="Tahoma" w:cs="Tahoma"/>
        </w:rPr>
        <w:t>Il s’agit d’une phase durant laquelle la personne déprimée s’ouvrir à nouveau aux autres et accueille des activités, ceci dans le but d’échapper à la douleur. Commence ici le processus de reconstruction.  La personne en deuil cherche des moyens pour sortir de sa peine.</w:t>
      </w:r>
      <w:r w:rsidRPr="009E581E">
        <w:rPr>
          <w:rFonts w:ascii="Tahoma" w:hAnsi="Tahoma" w:cs="Tahoma"/>
        </w:rPr>
        <w:br/>
        <w:t>Cette étape amorce la prochaine étape ;  l’acceptation.</w:t>
      </w:r>
    </w:p>
    <w:p w:rsidR="009E581E" w:rsidRPr="009E581E" w:rsidRDefault="009E581E" w:rsidP="009E581E">
      <w:pPr>
        <w:rPr>
          <w:rFonts w:ascii="Tahoma" w:hAnsi="Tahoma" w:cs="Tahoma"/>
        </w:rPr>
      </w:pPr>
    </w:p>
    <w:p w:rsidR="009E581E" w:rsidRPr="009E581E" w:rsidRDefault="009E581E" w:rsidP="009E581E">
      <w:pPr>
        <w:rPr>
          <w:rFonts w:ascii="Tahoma" w:hAnsi="Tahoma" w:cs="Tahoma"/>
        </w:rPr>
      </w:pPr>
      <w:r w:rsidRPr="009E581E">
        <w:rPr>
          <w:rFonts w:ascii="Tahoma" w:hAnsi="Tahoma" w:cs="Tahoma"/>
          <w:b/>
          <w:bCs/>
        </w:rPr>
        <w:t>7 – Acceptation</w:t>
      </w:r>
    </w:p>
    <w:p w:rsidR="009E581E" w:rsidRPr="009E581E" w:rsidRDefault="009E581E" w:rsidP="009E581E">
      <w:pPr>
        <w:rPr>
          <w:rFonts w:ascii="Tahoma" w:hAnsi="Tahoma" w:cs="Tahoma"/>
        </w:rPr>
      </w:pPr>
      <w:r w:rsidRPr="009E581E">
        <w:rPr>
          <w:rFonts w:ascii="Tahoma" w:hAnsi="Tahoma" w:cs="Tahoma"/>
        </w:rPr>
        <w:t>Nous arrivons à la dernière étape décr</w:t>
      </w:r>
      <w:bookmarkStart w:id="0" w:name="_GoBack"/>
      <w:bookmarkEnd w:id="0"/>
      <w:r w:rsidRPr="009E581E">
        <w:rPr>
          <w:rFonts w:ascii="Tahoma" w:hAnsi="Tahoma" w:cs="Tahoma"/>
        </w:rPr>
        <w:t>ite.  La personne accepte le fait que la réalité ne puisse être changée.  C’est une période de paix, où elle s’autorise à vivre sans l’autre et à faire des projets d’avenir.</w:t>
      </w:r>
      <w:r w:rsidRPr="009E581E">
        <w:rPr>
          <w:rFonts w:ascii="Tahoma" w:hAnsi="Tahoma" w:cs="Tahoma"/>
        </w:rPr>
        <w:br/>
      </w:r>
      <w:bookmarkStart w:id="1" w:name="_ednref2"/>
      <w:bookmarkEnd w:id="1"/>
    </w:p>
    <w:p w:rsidR="009E581E" w:rsidRPr="00D13E44" w:rsidRDefault="009E581E" w:rsidP="00D13E44">
      <w:pPr>
        <w:pBdr>
          <w:top w:val="single" w:sz="4" w:space="1" w:color="auto"/>
          <w:left w:val="single" w:sz="4" w:space="4" w:color="auto"/>
          <w:bottom w:val="single" w:sz="4" w:space="1" w:color="auto"/>
          <w:right w:val="single" w:sz="4" w:space="4" w:color="auto"/>
        </w:pBdr>
        <w:rPr>
          <w:rFonts w:ascii="Tahoma" w:hAnsi="Tahoma" w:cs="Tahoma"/>
          <w:b/>
          <w:bCs/>
        </w:rPr>
      </w:pPr>
      <w:r w:rsidRPr="00D13E44">
        <w:rPr>
          <w:rFonts w:ascii="Tahoma" w:hAnsi="Tahoma" w:cs="Tahoma"/>
          <w:b/>
          <w:bCs/>
        </w:rPr>
        <w:t>LES MÉCANISMES DE DÉFENSE</w:t>
      </w:r>
    </w:p>
    <w:p w:rsidR="009E581E" w:rsidRDefault="009E581E" w:rsidP="009E581E">
      <w:pPr>
        <w:rPr>
          <w:rFonts w:ascii="Tahoma" w:hAnsi="Tahoma" w:cs="Tahoma"/>
        </w:rPr>
      </w:pPr>
    </w:p>
    <w:p w:rsidR="009E581E" w:rsidRPr="009E581E" w:rsidRDefault="009E581E" w:rsidP="009E581E">
      <w:pPr>
        <w:rPr>
          <w:rFonts w:ascii="Tahoma" w:hAnsi="Tahoma" w:cs="Tahoma"/>
        </w:rPr>
      </w:pPr>
      <w:r w:rsidRPr="009E581E">
        <w:rPr>
          <w:rFonts w:ascii="Tahoma" w:hAnsi="Tahoma" w:cs="Tahoma"/>
        </w:rPr>
        <w:t>Les mécanismes de défense regroupent une série de mécanismes inconscients mis en œuvre par un être humain pour supporter une situation difficile et/ou lutter contre l’angoisse. Ils sont utilisés à tout moment par les personnes endeuillées. Ils sont au nombre de dix :</w:t>
      </w:r>
    </w:p>
    <w:p w:rsidR="009E581E" w:rsidRPr="009E581E" w:rsidRDefault="009E581E" w:rsidP="009E581E">
      <w:pPr>
        <w:numPr>
          <w:ilvl w:val="0"/>
          <w:numId w:val="1"/>
        </w:numPr>
        <w:rPr>
          <w:rFonts w:ascii="Tahoma" w:hAnsi="Tahoma" w:cs="Tahoma"/>
        </w:rPr>
      </w:pPr>
      <w:r w:rsidRPr="009E581E">
        <w:rPr>
          <w:rFonts w:ascii="Tahoma" w:hAnsi="Tahoma" w:cs="Tahoma"/>
          <w:b/>
          <w:bCs/>
        </w:rPr>
        <w:t>combativité ou sublimation</w:t>
      </w:r>
      <w:r w:rsidRPr="009E581E">
        <w:rPr>
          <w:rFonts w:ascii="Tahoma" w:hAnsi="Tahoma" w:cs="Tahoma"/>
        </w:rPr>
        <w:t> : transformation de  l’événement difficile en action positive. L’énergie permet de diminuer le découragement et laisse place à l’espoir et la confiance</w:t>
      </w:r>
    </w:p>
    <w:p w:rsidR="009E581E" w:rsidRPr="009E581E" w:rsidRDefault="009E581E" w:rsidP="009E581E">
      <w:pPr>
        <w:numPr>
          <w:ilvl w:val="0"/>
          <w:numId w:val="1"/>
        </w:numPr>
        <w:rPr>
          <w:rFonts w:ascii="Tahoma" w:hAnsi="Tahoma" w:cs="Tahoma"/>
        </w:rPr>
      </w:pPr>
      <w:r w:rsidRPr="009E581E">
        <w:rPr>
          <w:rFonts w:ascii="Tahoma" w:hAnsi="Tahoma" w:cs="Tahoma"/>
          <w:b/>
          <w:bCs/>
        </w:rPr>
        <w:t>déni </w:t>
      </w:r>
      <w:r w:rsidRPr="009E581E">
        <w:rPr>
          <w:rFonts w:ascii="Tahoma" w:hAnsi="Tahoma" w:cs="Tahoma"/>
        </w:rPr>
        <w:t>: c’est le refus de croire la réalité</w:t>
      </w:r>
    </w:p>
    <w:p w:rsidR="009E581E" w:rsidRPr="009E581E" w:rsidRDefault="009E581E" w:rsidP="009E581E">
      <w:pPr>
        <w:numPr>
          <w:ilvl w:val="0"/>
          <w:numId w:val="1"/>
        </w:numPr>
        <w:rPr>
          <w:rFonts w:ascii="Tahoma" w:hAnsi="Tahoma" w:cs="Tahoma"/>
        </w:rPr>
      </w:pPr>
      <w:r w:rsidRPr="009E581E">
        <w:rPr>
          <w:rFonts w:ascii="Tahoma" w:hAnsi="Tahoma" w:cs="Tahoma"/>
          <w:b/>
          <w:bCs/>
        </w:rPr>
        <w:t>dénégation </w:t>
      </w:r>
      <w:r w:rsidRPr="009E581E">
        <w:rPr>
          <w:rFonts w:ascii="Tahoma" w:hAnsi="Tahoma" w:cs="Tahoma"/>
        </w:rPr>
        <w:t>ou connaître la réalité mais la rejeter car elle est inacceptable</w:t>
      </w:r>
    </w:p>
    <w:p w:rsidR="009E581E" w:rsidRPr="009E581E" w:rsidRDefault="009E581E" w:rsidP="009E581E">
      <w:pPr>
        <w:numPr>
          <w:ilvl w:val="0"/>
          <w:numId w:val="1"/>
        </w:numPr>
        <w:rPr>
          <w:rFonts w:ascii="Tahoma" w:hAnsi="Tahoma" w:cs="Tahoma"/>
        </w:rPr>
      </w:pPr>
      <w:r w:rsidRPr="009E581E">
        <w:rPr>
          <w:rFonts w:ascii="Tahoma" w:hAnsi="Tahoma" w:cs="Tahoma"/>
          <w:b/>
          <w:bCs/>
        </w:rPr>
        <w:t>déplacement </w:t>
      </w:r>
      <w:r w:rsidRPr="009E581E">
        <w:rPr>
          <w:rFonts w:ascii="Tahoma" w:hAnsi="Tahoma" w:cs="Tahoma"/>
        </w:rPr>
        <w:t>: c’est transférer son angoisse sur une autre personne</w:t>
      </w:r>
    </w:p>
    <w:p w:rsidR="009E581E" w:rsidRPr="009E581E" w:rsidRDefault="009E581E" w:rsidP="009E581E">
      <w:pPr>
        <w:numPr>
          <w:ilvl w:val="0"/>
          <w:numId w:val="1"/>
        </w:numPr>
        <w:rPr>
          <w:rFonts w:ascii="Tahoma" w:hAnsi="Tahoma" w:cs="Tahoma"/>
        </w:rPr>
      </w:pPr>
      <w:r w:rsidRPr="009E581E">
        <w:rPr>
          <w:rFonts w:ascii="Tahoma" w:hAnsi="Tahoma" w:cs="Tahoma"/>
          <w:b/>
          <w:bCs/>
        </w:rPr>
        <w:t>isolement </w:t>
      </w:r>
      <w:r w:rsidRPr="009E581E">
        <w:rPr>
          <w:rFonts w:ascii="Tahoma" w:hAnsi="Tahoma" w:cs="Tahoma"/>
        </w:rPr>
        <w:t>: c’est la description d’une situation grave et connue avec détachement et précision</w:t>
      </w:r>
    </w:p>
    <w:p w:rsidR="009E581E" w:rsidRPr="009E581E" w:rsidRDefault="009E581E" w:rsidP="009E581E">
      <w:pPr>
        <w:numPr>
          <w:ilvl w:val="0"/>
          <w:numId w:val="1"/>
        </w:numPr>
        <w:rPr>
          <w:rFonts w:ascii="Tahoma" w:hAnsi="Tahoma" w:cs="Tahoma"/>
        </w:rPr>
      </w:pPr>
      <w:r w:rsidRPr="009E581E">
        <w:rPr>
          <w:rFonts w:ascii="Tahoma" w:hAnsi="Tahoma" w:cs="Tahoma"/>
          <w:b/>
          <w:bCs/>
        </w:rPr>
        <w:t>projection agressive </w:t>
      </w:r>
      <w:r w:rsidRPr="009E581E">
        <w:rPr>
          <w:rFonts w:ascii="Tahoma" w:hAnsi="Tahoma" w:cs="Tahoma"/>
        </w:rPr>
        <w:t>: la personne est agressive et rend l’interlocuteur responsable de la situation</w:t>
      </w:r>
    </w:p>
    <w:p w:rsidR="009E581E" w:rsidRPr="009E581E" w:rsidRDefault="009E581E" w:rsidP="009E581E">
      <w:pPr>
        <w:numPr>
          <w:ilvl w:val="0"/>
          <w:numId w:val="1"/>
        </w:numPr>
        <w:rPr>
          <w:rFonts w:ascii="Tahoma" w:hAnsi="Tahoma" w:cs="Tahoma"/>
        </w:rPr>
      </w:pPr>
      <w:r w:rsidRPr="009E581E">
        <w:rPr>
          <w:rFonts w:ascii="Tahoma" w:hAnsi="Tahoma" w:cs="Tahoma"/>
          <w:b/>
          <w:bCs/>
        </w:rPr>
        <w:t>rationalisation </w:t>
      </w:r>
      <w:r w:rsidRPr="009E581E">
        <w:rPr>
          <w:rFonts w:ascii="Tahoma" w:hAnsi="Tahoma" w:cs="Tahoma"/>
        </w:rPr>
        <w:t>: la personne tente de comprendre l’origine et la raison de la situation pour mieux la contrôler, la maîtriser</w:t>
      </w:r>
    </w:p>
    <w:p w:rsidR="009E581E" w:rsidRPr="009E581E" w:rsidRDefault="009E581E" w:rsidP="009E581E">
      <w:pPr>
        <w:numPr>
          <w:ilvl w:val="0"/>
          <w:numId w:val="1"/>
        </w:numPr>
        <w:rPr>
          <w:rFonts w:ascii="Tahoma" w:hAnsi="Tahoma" w:cs="Tahoma"/>
        </w:rPr>
      </w:pPr>
      <w:r w:rsidRPr="009E581E">
        <w:rPr>
          <w:rFonts w:ascii="Tahoma" w:hAnsi="Tahoma" w:cs="Tahoma"/>
          <w:b/>
          <w:bCs/>
        </w:rPr>
        <w:t>régression </w:t>
      </w:r>
      <w:r w:rsidRPr="009E581E">
        <w:rPr>
          <w:rFonts w:ascii="Tahoma" w:hAnsi="Tahoma" w:cs="Tahoma"/>
        </w:rPr>
        <w:t>: reprise d’attitudes ou de comportements anciens par rapport à son statut actuel</w:t>
      </w:r>
    </w:p>
    <w:p w:rsidR="00FB0B4A" w:rsidRPr="009E581E" w:rsidRDefault="00FB0B4A">
      <w:pPr>
        <w:rPr>
          <w:rFonts w:ascii="Tahoma" w:hAnsi="Tahoma" w:cs="Tahoma"/>
        </w:rPr>
      </w:pPr>
    </w:p>
    <w:sectPr w:rsidR="00FB0B4A" w:rsidRPr="009E581E" w:rsidSect="00D13E44">
      <w:headerReference w:type="default" r:id="rId7"/>
      <w:footerReference w:type="default" r:id="rId8"/>
      <w:pgSz w:w="11906" w:h="16838"/>
      <w:pgMar w:top="1827" w:right="1417" w:bottom="851" w:left="1417" w:header="708" w:footer="45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3E44" w:rsidRDefault="00D13E44" w:rsidP="00D13E44">
      <w:pPr>
        <w:spacing w:after="0" w:line="240" w:lineRule="auto"/>
      </w:pPr>
      <w:r>
        <w:separator/>
      </w:r>
    </w:p>
  </w:endnote>
  <w:endnote w:type="continuationSeparator" w:id="0">
    <w:p w:rsidR="00D13E44" w:rsidRDefault="00D13E44" w:rsidP="00D13E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3E44" w:rsidRPr="00D13E44" w:rsidRDefault="00D13E44">
    <w:pPr>
      <w:pStyle w:val="Pieddepage"/>
      <w:rPr>
        <w:sz w:val="18"/>
        <w:szCs w:val="18"/>
      </w:rPr>
    </w:pPr>
    <w:r>
      <w:rPr>
        <w:sz w:val="18"/>
        <w:szCs w:val="18"/>
      </w:rPr>
      <w:tab/>
    </w:r>
    <w:r>
      <w:rPr>
        <w:sz w:val="18"/>
        <w:szCs w:val="18"/>
      </w:rPr>
      <w:tab/>
    </w:r>
    <w:r w:rsidRPr="00D13E44">
      <w:rPr>
        <w:sz w:val="18"/>
        <w:szCs w:val="18"/>
      </w:rPr>
      <w:t>FREE Compétences – ADVF-JPB - 2021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3E44" w:rsidRDefault="00D13E44" w:rsidP="00D13E44">
      <w:pPr>
        <w:spacing w:after="0" w:line="240" w:lineRule="auto"/>
      </w:pPr>
      <w:r>
        <w:separator/>
      </w:r>
    </w:p>
  </w:footnote>
  <w:footnote w:type="continuationSeparator" w:id="0">
    <w:p w:rsidR="00D13E44" w:rsidRDefault="00D13E44" w:rsidP="00D13E4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3E44" w:rsidRDefault="00D13E44">
    <w:pPr>
      <w:pStyle w:val="En-tte"/>
    </w:pPr>
    <w:r>
      <w:rPr>
        <w:noProof/>
        <w:lang w:eastAsia="fr-FR"/>
      </w:rPr>
      <w:drawing>
        <wp:anchor distT="0" distB="0" distL="114300" distR="114300" simplePos="0" relativeHeight="251658240" behindDoc="0" locked="0" layoutInCell="1" allowOverlap="1">
          <wp:simplePos x="0" y="0"/>
          <wp:positionH relativeFrom="margin">
            <wp:posOffset>2566974</wp:posOffset>
          </wp:positionH>
          <wp:positionV relativeFrom="paragraph">
            <wp:posOffset>-354165</wp:posOffset>
          </wp:positionV>
          <wp:extent cx="755374" cy="1020145"/>
          <wp:effectExtent l="0" t="0" r="6985" b="8890"/>
          <wp:wrapNone/>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FREE pour doc.png"/>
                  <pic:cNvPicPr/>
                </pic:nvPicPr>
                <pic:blipFill>
                  <a:blip r:embed="rId1">
                    <a:extLst>
                      <a:ext uri="{28A0092B-C50C-407E-A947-70E740481C1C}">
                        <a14:useLocalDpi xmlns:a14="http://schemas.microsoft.com/office/drawing/2010/main" val="0"/>
                      </a:ext>
                    </a:extLst>
                  </a:blip>
                  <a:stretch>
                    <a:fillRect/>
                  </a:stretch>
                </pic:blipFill>
                <pic:spPr>
                  <a:xfrm>
                    <a:off x="0" y="0"/>
                    <a:ext cx="765961" cy="1034443"/>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8A24F7E"/>
    <w:multiLevelType w:val="multilevel"/>
    <w:tmpl w:val="BAC6A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581E"/>
    <w:rsid w:val="009E581E"/>
    <w:rsid w:val="00D13E44"/>
    <w:rsid w:val="00FB0B4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0B76771-E4DE-45EC-9D24-A9335B279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9E581E"/>
    <w:rPr>
      <w:color w:val="0563C1" w:themeColor="hyperlink"/>
      <w:u w:val="single"/>
    </w:rPr>
  </w:style>
  <w:style w:type="paragraph" w:styleId="En-tte">
    <w:name w:val="header"/>
    <w:basedOn w:val="Normal"/>
    <w:link w:val="En-tteCar"/>
    <w:uiPriority w:val="99"/>
    <w:unhideWhenUsed/>
    <w:rsid w:val="00D13E44"/>
    <w:pPr>
      <w:tabs>
        <w:tab w:val="center" w:pos="4536"/>
        <w:tab w:val="right" w:pos="9072"/>
      </w:tabs>
      <w:spacing w:after="0" w:line="240" w:lineRule="auto"/>
    </w:pPr>
  </w:style>
  <w:style w:type="character" w:customStyle="1" w:styleId="En-tteCar">
    <w:name w:val="En-tête Car"/>
    <w:basedOn w:val="Policepardfaut"/>
    <w:link w:val="En-tte"/>
    <w:uiPriority w:val="99"/>
    <w:rsid w:val="00D13E44"/>
  </w:style>
  <w:style w:type="paragraph" w:styleId="Pieddepage">
    <w:name w:val="footer"/>
    <w:basedOn w:val="Normal"/>
    <w:link w:val="PieddepageCar"/>
    <w:uiPriority w:val="99"/>
    <w:unhideWhenUsed/>
    <w:rsid w:val="00D13E4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13E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7652675">
      <w:bodyDiv w:val="1"/>
      <w:marLeft w:val="0"/>
      <w:marRight w:val="0"/>
      <w:marTop w:val="0"/>
      <w:marBottom w:val="0"/>
      <w:divBdr>
        <w:top w:val="none" w:sz="0" w:space="0" w:color="auto"/>
        <w:left w:val="none" w:sz="0" w:space="0" w:color="auto"/>
        <w:bottom w:val="none" w:sz="0" w:space="0" w:color="auto"/>
        <w:right w:val="none" w:sz="0" w:space="0" w:color="auto"/>
      </w:divBdr>
      <w:divsChild>
        <w:div w:id="1935743198">
          <w:marLeft w:val="-225"/>
          <w:marRight w:val="-225"/>
          <w:marTop w:val="0"/>
          <w:marBottom w:val="0"/>
          <w:divBdr>
            <w:top w:val="none" w:sz="0" w:space="0" w:color="auto"/>
            <w:left w:val="none" w:sz="0" w:space="0" w:color="auto"/>
            <w:bottom w:val="none" w:sz="0" w:space="0" w:color="auto"/>
            <w:right w:val="none" w:sz="0" w:space="0" w:color="auto"/>
          </w:divBdr>
          <w:divsChild>
            <w:div w:id="760683908">
              <w:marLeft w:val="0"/>
              <w:marRight w:val="0"/>
              <w:marTop w:val="0"/>
              <w:marBottom w:val="0"/>
              <w:divBdr>
                <w:top w:val="none" w:sz="0" w:space="0" w:color="auto"/>
                <w:left w:val="none" w:sz="0" w:space="0" w:color="auto"/>
                <w:bottom w:val="none" w:sz="0" w:space="0" w:color="auto"/>
                <w:right w:val="none" w:sz="0" w:space="0" w:color="auto"/>
              </w:divBdr>
              <w:divsChild>
                <w:div w:id="1902324543">
                  <w:marLeft w:val="0"/>
                  <w:marRight w:val="0"/>
                  <w:marTop w:val="0"/>
                  <w:marBottom w:val="0"/>
                  <w:divBdr>
                    <w:top w:val="none" w:sz="0" w:space="0" w:color="auto"/>
                    <w:left w:val="none" w:sz="0" w:space="0" w:color="auto"/>
                    <w:bottom w:val="none" w:sz="0" w:space="0" w:color="auto"/>
                    <w:right w:val="none" w:sz="0" w:space="0" w:color="auto"/>
                  </w:divBdr>
                  <w:divsChild>
                    <w:div w:id="2112697400">
                      <w:marLeft w:val="0"/>
                      <w:marRight w:val="0"/>
                      <w:marTop w:val="0"/>
                      <w:marBottom w:val="0"/>
                      <w:divBdr>
                        <w:top w:val="none" w:sz="0" w:space="0" w:color="auto"/>
                        <w:left w:val="none" w:sz="0" w:space="0" w:color="auto"/>
                        <w:bottom w:val="none" w:sz="0" w:space="0" w:color="auto"/>
                        <w:right w:val="none" w:sz="0" w:space="0" w:color="auto"/>
                      </w:divBdr>
                      <w:divsChild>
                        <w:div w:id="1943802754">
                          <w:marLeft w:val="0"/>
                          <w:marRight w:val="0"/>
                          <w:marTop w:val="0"/>
                          <w:marBottom w:val="375"/>
                          <w:divBdr>
                            <w:top w:val="none" w:sz="0" w:space="0" w:color="auto"/>
                            <w:left w:val="none" w:sz="0" w:space="0" w:color="auto"/>
                            <w:bottom w:val="none" w:sz="0" w:space="0" w:color="auto"/>
                            <w:right w:val="none" w:sz="0" w:space="0" w:color="auto"/>
                          </w:divBdr>
                          <w:divsChild>
                            <w:div w:id="452599967">
                              <w:marLeft w:val="0"/>
                              <w:marRight w:val="0"/>
                              <w:marTop w:val="0"/>
                              <w:marBottom w:val="0"/>
                              <w:divBdr>
                                <w:top w:val="none" w:sz="0" w:space="0" w:color="auto"/>
                                <w:left w:val="none" w:sz="0" w:space="0" w:color="auto"/>
                                <w:bottom w:val="none" w:sz="0" w:space="0" w:color="auto"/>
                                <w:right w:val="none" w:sz="0" w:space="0" w:color="auto"/>
                              </w:divBdr>
                              <w:divsChild>
                                <w:div w:id="687877302">
                                  <w:marLeft w:val="0"/>
                                  <w:marRight w:val="0"/>
                                  <w:marTop w:val="0"/>
                                  <w:marBottom w:val="375"/>
                                  <w:divBdr>
                                    <w:top w:val="none" w:sz="0" w:space="0" w:color="auto"/>
                                    <w:left w:val="none" w:sz="0" w:space="0" w:color="auto"/>
                                    <w:bottom w:val="none" w:sz="0" w:space="0" w:color="auto"/>
                                    <w:right w:val="none" w:sz="0" w:space="0" w:color="auto"/>
                                  </w:divBdr>
                                  <w:divsChild>
                                    <w:div w:id="506334627">
                                      <w:marLeft w:val="0"/>
                                      <w:marRight w:val="0"/>
                                      <w:marTop w:val="0"/>
                                      <w:marBottom w:val="0"/>
                                      <w:divBdr>
                                        <w:top w:val="none" w:sz="0" w:space="0" w:color="auto"/>
                                        <w:left w:val="none" w:sz="0" w:space="0" w:color="auto"/>
                                        <w:bottom w:val="none" w:sz="0" w:space="0" w:color="auto"/>
                                        <w:right w:val="none" w:sz="0" w:space="0" w:color="auto"/>
                                      </w:divBdr>
                                    </w:div>
                                  </w:divsChild>
                                </w:div>
                                <w:div w:id="1410493858">
                                  <w:marLeft w:val="0"/>
                                  <w:marRight w:val="0"/>
                                  <w:marTop w:val="0"/>
                                  <w:marBottom w:val="0"/>
                                  <w:divBdr>
                                    <w:top w:val="none" w:sz="0" w:space="0" w:color="auto"/>
                                    <w:left w:val="none" w:sz="0" w:space="0" w:color="auto"/>
                                    <w:bottom w:val="none" w:sz="0" w:space="0" w:color="auto"/>
                                    <w:right w:val="none" w:sz="0" w:space="0" w:color="auto"/>
                                  </w:divBdr>
                                  <w:divsChild>
                                    <w:div w:id="43393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586</Words>
  <Characters>3223</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STAGIAIRE FREE</dc:creator>
  <cp:keywords/>
  <dc:description/>
  <cp:lastModifiedBy>Catherine CUILLERDIER</cp:lastModifiedBy>
  <cp:revision>2</cp:revision>
  <dcterms:created xsi:type="dcterms:W3CDTF">2021-07-02T10:47:00Z</dcterms:created>
  <dcterms:modified xsi:type="dcterms:W3CDTF">2021-07-02T10:47:00Z</dcterms:modified>
</cp:coreProperties>
</file>