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Lampiran Benchmark</w:t>
      </w:r>
    </w:p>
    <w:p>
      <w:r>
        <w:t>Berikut adalah hasil dari eksekusi benchmark membandingkan Vector vs Unordered Map pada dataset 2000 baris:</w:t>
      </w:r>
    </w:p>
    <w:p>
      <w:pPr>
        <w:pStyle w:val="Heading2"/>
      </w:pPr>
      <w:r>
        <w:t>1. Tabel Komparasi Sebelahan (Side-by-Side Comparison)</w:t>
      </w:r>
    </w:p>
    <w:p>
      <w:r>
        <w:drawing>
          <wp:inline xmlns:a="http://schemas.openxmlformats.org/drawingml/2006/main" xmlns:pic="http://schemas.openxmlformats.org/drawingml/2006/picture">
            <wp:extent cx="64008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lampiran_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Output Evaluasi Waktu, Memori, dan Frequently Bought Together</w:t>
      </w:r>
    </w:p>
    <w:p>
      <w:r>
        <w:drawing>
          <wp:inline xmlns:a="http://schemas.openxmlformats.org/drawingml/2006/main" xmlns:pic="http://schemas.openxmlformats.org/drawingml/2006/picture">
            <wp:extent cx="5486400" cy="3060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lampiran_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