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25133" w14:textId="77777777" w:rsidR="002A7327" w:rsidRDefault="002A7327"/>
    <w:p w14:paraId="6F4A072B" w14:textId="1DEFDC7A" w:rsidR="002A7327" w:rsidRPr="00B340D6" w:rsidRDefault="002A7327" w:rsidP="002A7327">
      <w:pPr>
        <w:spacing w:before="100" w:beforeAutospacing="1" w:after="100" w:afterAutospacing="1" w:line="240" w:lineRule="auto"/>
        <w:outlineLvl w:val="0"/>
        <w:rPr>
          <w:rFonts w:asciiTheme="majorHAnsi" w:eastAsia="Times New Roman" w:hAnsiTheme="majorHAnsi" w:cstheme="majorHAnsi"/>
          <w:b/>
          <w:bCs/>
          <w:kern w:val="36"/>
          <w:sz w:val="32"/>
          <w:szCs w:val="32"/>
        </w:rPr>
      </w:pPr>
      <w:r>
        <w:rPr>
          <w:rFonts w:ascii="Times New Roman" w:eastAsia="Times New Roman" w:hAnsi="Times New Roman" w:cs="Times New Roman"/>
          <w:b/>
          <w:bCs/>
          <w:kern w:val="36"/>
          <w:sz w:val="32"/>
          <w:szCs w:val="32"/>
        </w:rPr>
        <w:t xml:space="preserve">                      </w:t>
      </w:r>
      <w:r w:rsidRPr="00B340D6">
        <w:rPr>
          <w:rFonts w:asciiTheme="majorHAnsi" w:eastAsia="Times New Roman" w:hAnsiTheme="majorHAnsi" w:cstheme="majorHAnsi"/>
          <w:b/>
          <w:bCs/>
          <w:kern w:val="36"/>
          <w:sz w:val="32"/>
          <w:szCs w:val="32"/>
        </w:rPr>
        <w:t xml:space="preserve">Insurance Claims Risk Analysis </w:t>
      </w:r>
    </w:p>
    <w:p w14:paraId="0601DE42" w14:textId="77777777" w:rsidR="002A7327" w:rsidRPr="00B340D6" w:rsidRDefault="002A7327" w:rsidP="002A7327">
      <w:pPr>
        <w:spacing w:before="100" w:beforeAutospacing="1" w:after="100" w:afterAutospacing="1" w:line="240" w:lineRule="auto"/>
        <w:outlineLvl w:val="1"/>
        <w:rPr>
          <w:rFonts w:asciiTheme="majorHAnsi" w:eastAsia="Times New Roman" w:hAnsiTheme="majorHAnsi" w:cstheme="majorHAnsi"/>
          <w:b/>
          <w:bCs/>
          <w:sz w:val="24"/>
          <w:szCs w:val="24"/>
        </w:rPr>
      </w:pPr>
      <w:r w:rsidRPr="00B340D6">
        <w:rPr>
          <w:rFonts w:asciiTheme="majorHAnsi" w:eastAsia="Times New Roman" w:hAnsiTheme="majorHAnsi" w:cstheme="majorHAnsi"/>
          <w:b/>
          <w:bCs/>
          <w:sz w:val="24"/>
          <w:szCs w:val="24"/>
        </w:rPr>
        <w:t>Project Overview</w:t>
      </w:r>
    </w:p>
    <w:p w14:paraId="0542F207" w14:textId="500F0013"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This project analyzes insurance policy and claims data to identify risk patterns, demographic trends, and vehicle-related claim drivers. The goal is to help insurers better understand which customer segments and vehicle categories generate the highest claims so that pricing, underwriting, and risk strategies can be improved.</w:t>
      </w:r>
      <w:r w:rsidR="00F14089" w:rsidRPr="00B340D6">
        <w:rPr>
          <w:rFonts w:asciiTheme="majorHAnsi" w:eastAsia="Times New Roman" w:hAnsiTheme="majorHAnsi" w:cstheme="majorHAnsi"/>
          <w:sz w:val="24"/>
          <w:szCs w:val="24"/>
        </w:rPr>
        <w:t xml:space="preserve"> </w:t>
      </w:r>
      <w:r w:rsidRPr="00B340D6">
        <w:rPr>
          <w:rFonts w:asciiTheme="majorHAnsi" w:eastAsia="Times New Roman" w:hAnsiTheme="majorHAnsi" w:cstheme="majorHAnsi"/>
          <w:sz w:val="24"/>
          <w:szCs w:val="24"/>
        </w:rPr>
        <w:t>Using SQL for data preparation and Power BI for visualization, the dashboard provides an interactive view of claims behavior across demographics, vehicle usage, income levels, and geographic coverage zones.</w:t>
      </w:r>
    </w:p>
    <w:p w14:paraId="1381AD9D" w14:textId="77777777" w:rsidR="002A7327" w:rsidRPr="00B340D6" w:rsidRDefault="002A7327" w:rsidP="002A7327">
      <w:pPr>
        <w:spacing w:before="100" w:beforeAutospacing="1" w:after="100" w:afterAutospacing="1" w:line="240" w:lineRule="auto"/>
        <w:outlineLvl w:val="0"/>
        <w:rPr>
          <w:rFonts w:asciiTheme="majorHAnsi" w:eastAsia="Times New Roman" w:hAnsiTheme="majorHAnsi" w:cstheme="majorHAnsi"/>
          <w:b/>
          <w:bCs/>
          <w:kern w:val="36"/>
          <w:sz w:val="24"/>
          <w:szCs w:val="24"/>
        </w:rPr>
      </w:pPr>
      <w:r w:rsidRPr="00B340D6">
        <w:rPr>
          <w:rFonts w:asciiTheme="majorHAnsi" w:eastAsia="Times New Roman" w:hAnsiTheme="majorHAnsi" w:cstheme="majorHAnsi"/>
          <w:b/>
          <w:bCs/>
          <w:kern w:val="36"/>
          <w:sz w:val="24"/>
          <w:szCs w:val="24"/>
        </w:rPr>
        <w:t>Business Problem</w:t>
      </w:r>
    </w:p>
    <w:p w14:paraId="70EE2DE2" w14:textId="77777777"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Insurance companies must carefully evaluate risk when issuing policies. Without clear insights into who files the most claims and under what conditions, insurers risk underpricing policies or accepting high-risk customers.</w:t>
      </w:r>
    </w:p>
    <w:p w14:paraId="7C632CBC" w14:textId="77777777"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This analysis answers key business questions such as:</w:t>
      </w:r>
    </w:p>
    <w:p w14:paraId="03B82F66" w14:textId="77777777" w:rsidR="002A7327" w:rsidRPr="00B340D6" w:rsidRDefault="002A7327" w:rsidP="002A7327">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Which customer demographics generate the highest claims?</w:t>
      </w:r>
    </w:p>
    <w:p w14:paraId="4BFEFC59" w14:textId="77777777" w:rsidR="002A7327" w:rsidRPr="00B340D6" w:rsidRDefault="002A7327" w:rsidP="002A7327">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Does vehicle usage (private vs commercial) influence claims frequency?</w:t>
      </w:r>
    </w:p>
    <w:p w14:paraId="1023C730" w14:textId="77777777" w:rsidR="002A7327" w:rsidRPr="00B340D6" w:rsidRDefault="002A7327" w:rsidP="002A7327">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Which car manufacturers are associated with higher claim costs?</w:t>
      </w:r>
    </w:p>
    <w:p w14:paraId="479D42A5" w14:textId="77777777" w:rsidR="002A7327" w:rsidRPr="00B340D6" w:rsidRDefault="002A7327" w:rsidP="002A7327">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How does income level or geographic location relate to claims behavior?</w:t>
      </w:r>
    </w:p>
    <w:p w14:paraId="7095BD57" w14:textId="4DCF4DA5" w:rsidR="002A7327" w:rsidRPr="00B340D6" w:rsidRDefault="002A7327" w:rsidP="002A7327">
      <w:pPr>
        <w:spacing w:before="100" w:beforeAutospacing="1" w:after="100" w:afterAutospacing="1" w:line="240" w:lineRule="auto"/>
        <w:outlineLvl w:val="0"/>
        <w:rPr>
          <w:rFonts w:asciiTheme="majorHAnsi" w:eastAsia="Times New Roman" w:hAnsiTheme="majorHAnsi" w:cstheme="majorHAnsi"/>
          <w:b/>
          <w:bCs/>
          <w:kern w:val="36"/>
          <w:sz w:val="28"/>
          <w:szCs w:val="28"/>
        </w:rPr>
      </w:pPr>
      <w:r w:rsidRPr="00B340D6">
        <w:rPr>
          <w:rFonts w:asciiTheme="majorHAnsi" w:eastAsia="Times New Roman" w:hAnsiTheme="majorHAnsi" w:cstheme="majorHAnsi"/>
          <w:b/>
          <w:bCs/>
          <w:kern w:val="36"/>
          <w:sz w:val="28"/>
          <w:szCs w:val="28"/>
        </w:rPr>
        <w:t xml:space="preserve">Tools </w:t>
      </w:r>
      <w:r w:rsidR="00237395" w:rsidRPr="00B340D6">
        <w:rPr>
          <w:rFonts w:asciiTheme="majorHAnsi" w:eastAsia="Times New Roman" w:hAnsiTheme="majorHAnsi" w:cstheme="majorHAnsi"/>
          <w:b/>
          <w:bCs/>
          <w:kern w:val="36"/>
          <w:sz w:val="28"/>
          <w:szCs w:val="28"/>
        </w:rPr>
        <w:t>Used</w:t>
      </w:r>
    </w:p>
    <w:p w14:paraId="3B8DB535" w14:textId="77777777"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b/>
          <w:bCs/>
          <w:sz w:val="24"/>
          <w:szCs w:val="24"/>
        </w:rPr>
        <w:t>Data Preparation</w:t>
      </w:r>
    </w:p>
    <w:p w14:paraId="466D7CCF" w14:textId="77777777" w:rsidR="002A7327" w:rsidRPr="00B340D6" w:rsidRDefault="002A7327" w:rsidP="002A7327">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SQL</w:t>
      </w:r>
    </w:p>
    <w:p w14:paraId="7159E0C5" w14:textId="51ECCCC1" w:rsidR="002A7327" w:rsidRPr="00B340D6" w:rsidRDefault="00237395" w:rsidP="002A7327">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Power BI</w:t>
      </w:r>
    </w:p>
    <w:p w14:paraId="778DD1E8" w14:textId="77777777" w:rsidR="002A7327" w:rsidRPr="00B340D6" w:rsidRDefault="002A7327" w:rsidP="002A7327">
      <w:pPr>
        <w:spacing w:before="100" w:beforeAutospacing="1" w:after="100" w:afterAutospacing="1" w:line="240" w:lineRule="auto"/>
        <w:outlineLvl w:val="0"/>
        <w:rPr>
          <w:rFonts w:asciiTheme="majorHAnsi" w:eastAsia="Times New Roman" w:hAnsiTheme="majorHAnsi" w:cstheme="majorHAnsi"/>
          <w:b/>
          <w:bCs/>
          <w:kern w:val="36"/>
          <w:sz w:val="24"/>
          <w:szCs w:val="24"/>
        </w:rPr>
      </w:pPr>
      <w:r w:rsidRPr="00B340D6">
        <w:rPr>
          <w:rFonts w:asciiTheme="majorHAnsi" w:eastAsia="Times New Roman" w:hAnsiTheme="majorHAnsi" w:cstheme="majorHAnsi"/>
          <w:b/>
          <w:bCs/>
          <w:kern w:val="36"/>
          <w:sz w:val="24"/>
          <w:szCs w:val="24"/>
        </w:rPr>
        <w:t>Dashboard Structure</w:t>
      </w:r>
    </w:p>
    <w:p w14:paraId="16BA97C0" w14:textId="77777777"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 xml:space="preserve">The dashboard is organized into </w:t>
      </w:r>
      <w:r w:rsidRPr="00B340D6">
        <w:rPr>
          <w:rFonts w:asciiTheme="majorHAnsi" w:eastAsia="Times New Roman" w:hAnsiTheme="majorHAnsi" w:cstheme="majorHAnsi"/>
          <w:b/>
          <w:bCs/>
          <w:sz w:val="24"/>
          <w:szCs w:val="24"/>
        </w:rPr>
        <w:t>three analytical sections</w:t>
      </w:r>
      <w:r w:rsidRPr="00B340D6">
        <w:rPr>
          <w:rFonts w:asciiTheme="majorHAnsi" w:eastAsia="Times New Roman" w:hAnsiTheme="majorHAnsi" w:cstheme="majorHAnsi"/>
          <w:sz w:val="24"/>
          <w:szCs w:val="24"/>
        </w:rPr>
        <w:t>.</w:t>
      </w:r>
    </w:p>
    <w:p w14:paraId="0F5C502F" w14:textId="77777777" w:rsidR="002A7327" w:rsidRPr="00B340D6" w:rsidRDefault="002A7327" w:rsidP="002A7327">
      <w:pPr>
        <w:spacing w:before="100" w:beforeAutospacing="1" w:after="100" w:afterAutospacing="1" w:line="240" w:lineRule="auto"/>
        <w:outlineLvl w:val="2"/>
        <w:rPr>
          <w:rFonts w:asciiTheme="majorHAnsi" w:eastAsia="Times New Roman" w:hAnsiTheme="majorHAnsi" w:cstheme="majorHAnsi"/>
          <w:b/>
          <w:bCs/>
          <w:sz w:val="24"/>
          <w:szCs w:val="24"/>
        </w:rPr>
      </w:pPr>
      <w:r w:rsidRPr="00B340D6">
        <w:rPr>
          <w:rFonts w:asciiTheme="majorHAnsi" w:eastAsia="Times New Roman" w:hAnsiTheme="majorHAnsi" w:cstheme="majorHAnsi"/>
          <w:b/>
          <w:bCs/>
          <w:sz w:val="24"/>
          <w:szCs w:val="24"/>
        </w:rPr>
        <w:t>1. Portfolio Overview</w:t>
      </w:r>
    </w:p>
    <w:p w14:paraId="637CCDB9" w14:textId="77777777"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Provides a high-level summary of the entire insurance portfolio including:</w:t>
      </w:r>
    </w:p>
    <w:p w14:paraId="45ED2A51" w14:textId="77777777" w:rsidR="002A7327" w:rsidRPr="00B340D6" w:rsidRDefault="002A7327" w:rsidP="002A7327">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Total policies and claims</w:t>
      </w:r>
    </w:p>
    <w:p w14:paraId="367D45C9" w14:textId="77777777" w:rsidR="002A7327" w:rsidRPr="00B340D6" w:rsidRDefault="002A7327" w:rsidP="002A7327">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Claim rate</w:t>
      </w:r>
    </w:p>
    <w:p w14:paraId="7EEAFA1F" w14:textId="77777777" w:rsidR="002A7327" w:rsidRPr="00B340D6" w:rsidRDefault="002A7327" w:rsidP="002A7327">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Average claim amount</w:t>
      </w:r>
    </w:p>
    <w:p w14:paraId="178A69C1" w14:textId="77777777" w:rsidR="002A7327" w:rsidRPr="00B340D6" w:rsidRDefault="002A7327" w:rsidP="002A7327">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Claim distribution by vehicle usage</w:t>
      </w:r>
    </w:p>
    <w:p w14:paraId="2C328251" w14:textId="37041F3D" w:rsidR="002A7327" w:rsidRPr="00B340D6" w:rsidRDefault="002A7327" w:rsidP="002A7327">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Claim rate across coverage zones</w:t>
      </w:r>
    </w:p>
    <w:p w14:paraId="28BE33D2" w14:textId="77777777" w:rsidR="002A7327" w:rsidRPr="00B340D6" w:rsidRDefault="002A7327" w:rsidP="002A7327">
      <w:pPr>
        <w:spacing w:before="100" w:beforeAutospacing="1" w:after="100" w:afterAutospacing="1" w:line="240" w:lineRule="auto"/>
        <w:outlineLvl w:val="2"/>
        <w:rPr>
          <w:rFonts w:asciiTheme="majorHAnsi" w:eastAsia="Times New Roman" w:hAnsiTheme="majorHAnsi" w:cstheme="majorHAnsi"/>
          <w:b/>
          <w:bCs/>
          <w:sz w:val="24"/>
          <w:szCs w:val="24"/>
        </w:rPr>
      </w:pPr>
      <w:r w:rsidRPr="00B340D6">
        <w:rPr>
          <w:rFonts w:asciiTheme="majorHAnsi" w:eastAsia="Times New Roman" w:hAnsiTheme="majorHAnsi" w:cstheme="majorHAnsi"/>
          <w:b/>
          <w:bCs/>
          <w:sz w:val="24"/>
          <w:szCs w:val="24"/>
        </w:rPr>
        <w:t>2. Demographic Risk Analysis</w:t>
      </w:r>
    </w:p>
    <w:p w14:paraId="23D6C353" w14:textId="77777777"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Examines how customer characteristics affect claim behavior.</w:t>
      </w:r>
    </w:p>
    <w:p w14:paraId="01101E4C" w14:textId="77777777"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lastRenderedPageBreak/>
        <w:t>Metrics analyzed:</w:t>
      </w:r>
    </w:p>
    <w:p w14:paraId="62670699" w14:textId="77777777" w:rsidR="002A7327" w:rsidRPr="00B340D6" w:rsidRDefault="002A7327" w:rsidP="002A7327">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Claim amount by age group</w:t>
      </w:r>
    </w:p>
    <w:p w14:paraId="2575163E" w14:textId="77777777" w:rsidR="002A7327" w:rsidRPr="00B340D6" w:rsidRDefault="002A7327" w:rsidP="002A7327">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Claim frequency by gender</w:t>
      </w:r>
    </w:p>
    <w:p w14:paraId="17E314BA" w14:textId="77777777" w:rsidR="002A7327" w:rsidRPr="00B340D6" w:rsidRDefault="002A7327" w:rsidP="002A7327">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Claim frequency by age and gender</w:t>
      </w:r>
    </w:p>
    <w:p w14:paraId="55DCE8CB" w14:textId="5C43D9AD" w:rsidR="002A7327" w:rsidRPr="00B340D6" w:rsidRDefault="002A7327" w:rsidP="002A7327">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Claims by marital status</w:t>
      </w:r>
    </w:p>
    <w:p w14:paraId="16DB8A97" w14:textId="77777777" w:rsidR="002A7327" w:rsidRPr="00B340D6" w:rsidRDefault="002A7327" w:rsidP="002A7327">
      <w:pPr>
        <w:spacing w:before="100" w:beforeAutospacing="1" w:after="100" w:afterAutospacing="1" w:line="240" w:lineRule="auto"/>
        <w:outlineLvl w:val="2"/>
        <w:rPr>
          <w:rFonts w:asciiTheme="majorHAnsi" w:eastAsia="Times New Roman" w:hAnsiTheme="majorHAnsi" w:cstheme="majorHAnsi"/>
          <w:b/>
          <w:bCs/>
          <w:sz w:val="24"/>
          <w:szCs w:val="24"/>
        </w:rPr>
      </w:pPr>
      <w:r w:rsidRPr="00B340D6">
        <w:rPr>
          <w:rFonts w:asciiTheme="majorHAnsi" w:eastAsia="Times New Roman" w:hAnsiTheme="majorHAnsi" w:cstheme="majorHAnsi"/>
          <w:b/>
          <w:bCs/>
          <w:sz w:val="24"/>
          <w:szCs w:val="24"/>
        </w:rPr>
        <w:t>3. Policy &amp; Vehicle Risk Insights</w:t>
      </w:r>
    </w:p>
    <w:p w14:paraId="7F608A55" w14:textId="77777777"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Analyzes how vehicle characteristics influence claims.</w:t>
      </w:r>
    </w:p>
    <w:p w14:paraId="35A7EA06" w14:textId="77777777"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Metrics analyzed:</w:t>
      </w:r>
    </w:p>
    <w:p w14:paraId="05C9A77F" w14:textId="77777777" w:rsidR="002A7327" w:rsidRPr="00B340D6" w:rsidRDefault="002A7327" w:rsidP="002A7327">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Total claims by car usage</w:t>
      </w:r>
    </w:p>
    <w:p w14:paraId="242B7946" w14:textId="77777777" w:rsidR="002A7327" w:rsidRPr="00B340D6" w:rsidRDefault="002A7327" w:rsidP="002A7327">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Top 10 car manufacturers by claim amount</w:t>
      </w:r>
    </w:p>
    <w:p w14:paraId="294A05EC" w14:textId="1A436A17" w:rsidR="002A7327" w:rsidRPr="00B340D6" w:rsidRDefault="002A7327" w:rsidP="002A7327">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Vehicle-related claim distribution</w:t>
      </w:r>
    </w:p>
    <w:p w14:paraId="17D1E728" w14:textId="77777777" w:rsidR="002A7327" w:rsidRPr="00B340D6" w:rsidRDefault="002A7327" w:rsidP="002A7327">
      <w:pPr>
        <w:spacing w:before="100" w:beforeAutospacing="1" w:after="100" w:afterAutospacing="1" w:line="240" w:lineRule="auto"/>
        <w:outlineLvl w:val="2"/>
        <w:rPr>
          <w:rFonts w:asciiTheme="majorHAnsi" w:eastAsia="Times New Roman" w:hAnsiTheme="majorHAnsi" w:cstheme="majorHAnsi"/>
          <w:b/>
          <w:bCs/>
          <w:sz w:val="24"/>
          <w:szCs w:val="24"/>
        </w:rPr>
      </w:pPr>
      <w:r w:rsidRPr="00B340D6">
        <w:rPr>
          <w:rFonts w:asciiTheme="majorHAnsi" w:eastAsia="Times New Roman" w:hAnsiTheme="majorHAnsi" w:cstheme="majorHAnsi"/>
          <w:b/>
          <w:bCs/>
          <w:sz w:val="24"/>
          <w:szCs w:val="24"/>
        </w:rPr>
        <w:t>4. Income &amp; Household Risk Insights</w:t>
      </w:r>
    </w:p>
    <w:p w14:paraId="6A9DBAC0" w14:textId="77777777"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Examines financial and geographic risk patterns.</w:t>
      </w:r>
    </w:p>
    <w:p w14:paraId="4012540E" w14:textId="77777777"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Metrics analyzed:</w:t>
      </w:r>
    </w:p>
    <w:p w14:paraId="1A2F840A" w14:textId="77777777" w:rsidR="002A7327" w:rsidRPr="00B340D6" w:rsidRDefault="002A7327" w:rsidP="002A7327">
      <w:pPr>
        <w:numPr>
          <w:ilvl w:val="0"/>
          <w:numId w:val="16"/>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Claim amount by income group</w:t>
      </w:r>
    </w:p>
    <w:p w14:paraId="2BE93D24" w14:textId="77777777" w:rsidR="002A7327" w:rsidRPr="00B340D6" w:rsidRDefault="002A7327" w:rsidP="002A7327">
      <w:pPr>
        <w:numPr>
          <w:ilvl w:val="0"/>
          <w:numId w:val="16"/>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Household income by coverage zone</w:t>
      </w:r>
    </w:p>
    <w:p w14:paraId="508589B6" w14:textId="3ACE7B36" w:rsidR="002A7327" w:rsidRPr="00B340D6" w:rsidRDefault="002A7327" w:rsidP="002A7327">
      <w:pPr>
        <w:numPr>
          <w:ilvl w:val="0"/>
          <w:numId w:val="16"/>
        </w:num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Claims across rural, urban, and suburban areas</w:t>
      </w:r>
    </w:p>
    <w:p w14:paraId="2E00FAC3" w14:textId="77777777" w:rsidR="002A7327" w:rsidRPr="00B340D6" w:rsidRDefault="002A7327" w:rsidP="002A7327">
      <w:pPr>
        <w:spacing w:before="100" w:beforeAutospacing="1" w:after="100" w:afterAutospacing="1" w:line="240" w:lineRule="auto"/>
        <w:outlineLvl w:val="0"/>
        <w:rPr>
          <w:rFonts w:asciiTheme="majorHAnsi" w:eastAsia="Times New Roman" w:hAnsiTheme="majorHAnsi" w:cstheme="majorHAnsi"/>
          <w:b/>
          <w:bCs/>
          <w:kern w:val="36"/>
          <w:sz w:val="24"/>
          <w:szCs w:val="24"/>
        </w:rPr>
      </w:pPr>
      <w:r w:rsidRPr="00B340D6">
        <w:rPr>
          <w:rFonts w:asciiTheme="majorHAnsi" w:eastAsia="Times New Roman" w:hAnsiTheme="majorHAnsi" w:cstheme="majorHAnsi"/>
          <w:b/>
          <w:bCs/>
          <w:kern w:val="36"/>
          <w:sz w:val="24"/>
          <w:szCs w:val="24"/>
        </w:rPr>
        <w:t>Key Insights</w:t>
      </w:r>
    </w:p>
    <w:p w14:paraId="76A0D70A" w14:textId="77777777" w:rsidR="002A7327" w:rsidRPr="00B340D6" w:rsidRDefault="002A7327" w:rsidP="002A7327">
      <w:pPr>
        <w:spacing w:before="100" w:beforeAutospacing="1" w:after="100" w:afterAutospacing="1" w:line="240" w:lineRule="auto"/>
        <w:outlineLvl w:val="2"/>
        <w:rPr>
          <w:rFonts w:asciiTheme="majorHAnsi" w:eastAsia="Times New Roman" w:hAnsiTheme="majorHAnsi" w:cstheme="majorHAnsi"/>
          <w:sz w:val="24"/>
          <w:szCs w:val="24"/>
        </w:rPr>
      </w:pPr>
      <w:r w:rsidRPr="00B340D6">
        <w:rPr>
          <w:rFonts w:asciiTheme="majorHAnsi" w:eastAsia="Times New Roman" w:hAnsiTheme="majorHAnsi" w:cstheme="majorHAnsi"/>
          <w:b/>
          <w:bCs/>
          <w:sz w:val="24"/>
          <w:szCs w:val="24"/>
        </w:rPr>
        <w:t xml:space="preserve">1. </w:t>
      </w:r>
      <w:r w:rsidRPr="00B340D6">
        <w:rPr>
          <w:rFonts w:asciiTheme="majorHAnsi" w:eastAsia="Times New Roman" w:hAnsiTheme="majorHAnsi" w:cstheme="majorHAnsi"/>
          <w:sz w:val="24"/>
          <w:szCs w:val="24"/>
        </w:rPr>
        <w:t>Private Vehicle Use Drives Most Claims</w:t>
      </w:r>
    </w:p>
    <w:p w14:paraId="60BF4763" w14:textId="145B5D82"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Private vehicles account for 15.4K claims, significantly higher than 3.7K claims from commercial vehicles, indicating that personal vehicle usage represents the largest claim exposure.</w:t>
      </w:r>
    </w:p>
    <w:p w14:paraId="25229E19" w14:textId="77777777" w:rsidR="002A7327" w:rsidRPr="00B340D6" w:rsidRDefault="002A7327" w:rsidP="002A7327">
      <w:pPr>
        <w:spacing w:before="100" w:beforeAutospacing="1" w:after="100" w:afterAutospacing="1" w:line="240" w:lineRule="auto"/>
        <w:outlineLvl w:val="2"/>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2. Older Age Groups Generate Higher Claim Costs</w:t>
      </w:r>
    </w:p>
    <w:p w14:paraId="7BCFE11D" w14:textId="0ABBA6F2"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Customers aged 56+ contribute the highest total claim amount (~$0.72B), suggesting increased risk due to factors such as driving behavior, health conditions, or higher insured values.</w:t>
      </w:r>
    </w:p>
    <w:p w14:paraId="70FC2120" w14:textId="77777777" w:rsidR="002A7327" w:rsidRPr="00B340D6" w:rsidRDefault="002A7327" w:rsidP="002A7327">
      <w:pPr>
        <w:spacing w:before="100" w:beforeAutospacing="1" w:after="100" w:afterAutospacing="1" w:line="240" w:lineRule="auto"/>
        <w:outlineLvl w:val="2"/>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3. Claim Frequency is Similar Across Genders</w:t>
      </w:r>
    </w:p>
    <w:p w14:paraId="0AA2E699" w14:textId="5AFBC33E"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Claim frequency is relatively balanced between male and female policyholders, indicating that gender alone is not a strong predictor of claims.</w:t>
      </w:r>
    </w:p>
    <w:p w14:paraId="267538E0" w14:textId="77777777" w:rsidR="002A7327" w:rsidRPr="00B340D6" w:rsidRDefault="002A7327" w:rsidP="002A7327">
      <w:pPr>
        <w:spacing w:before="100" w:beforeAutospacing="1" w:after="100" w:afterAutospacing="1" w:line="240" w:lineRule="auto"/>
        <w:outlineLvl w:val="2"/>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4. Certain Car Brands Show Higher Claim Costs</w:t>
      </w:r>
    </w:p>
    <w:p w14:paraId="60CDC254" w14:textId="064E6247"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Brands such as Ford, Chevrolet, Dodge, and Toyota appear among the top manufacturers associated with claim amounts, suggesting possible links to vehicle popularity, repair costs, or accident frequency.</w:t>
      </w:r>
    </w:p>
    <w:p w14:paraId="50A4E974" w14:textId="77777777" w:rsidR="002A7327" w:rsidRPr="00B340D6" w:rsidRDefault="002A7327" w:rsidP="002A7327">
      <w:pPr>
        <w:spacing w:before="100" w:beforeAutospacing="1" w:after="100" w:afterAutospacing="1" w:line="240" w:lineRule="auto"/>
        <w:outlineLvl w:val="2"/>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5. Coverage Zone Has Minimal Impact on Claim Rate</w:t>
      </w:r>
    </w:p>
    <w:p w14:paraId="5DEDC6A2" w14:textId="010F052F"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lastRenderedPageBreak/>
        <w:t>Claim rates across rural, suburban, urban, and highly urban zones remain relatively consistent (~0.50 – 0.52), indicating that geographic location alone may not significantly affect claim likelihood.</w:t>
      </w:r>
    </w:p>
    <w:p w14:paraId="05EA24F3" w14:textId="77777777" w:rsidR="002A7327" w:rsidRPr="00B340D6" w:rsidRDefault="002A7327" w:rsidP="002A7327">
      <w:pPr>
        <w:spacing w:before="100" w:beforeAutospacing="1" w:after="100" w:afterAutospacing="1" w:line="240" w:lineRule="auto"/>
        <w:outlineLvl w:val="2"/>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6. Income Level Does Not Strongly Affect Claim Size</w:t>
      </w:r>
    </w:p>
    <w:p w14:paraId="02982791" w14:textId="063D56EE"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Average claim amounts across low-, middle-, and high-income groups remain similar (~$49K – $50K), suggesting that income level is not a strong determinant of claim severity.</w:t>
      </w:r>
    </w:p>
    <w:p w14:paraId="0AA5D949" w14:textId="77777777" w:rsidR="002A7327" w:rsidRPr="00B340D6" w:rsidRDefault="002A7327" w:rsidP="002A7327">
      <w:pPr>
        <w:spacing w:before="100" w:beforeAutospacing="1" w:after="100" w:afterAutospacing="1" w:line="240" w:lineRule="auto"/>
        <w:outlineLvl w:val="0"/>
        <w:rPr>
          <w:rFonts w:asciiTheme="majorHAnsi" w:eastAsia="Times New Roman" w:hAnsiTheme="majorHAnsi" w:cstheme="majorHAnsi"/>
          <w:b/>
          <w:bCs/>
          <w:kern w:val="36"/>
          <w:sz w:val="24"/>
          <w:szCs w:val="24"/>
        </w:rPr>
      </w:pPr>
      <w:r w:rsidRPr="00B340D6">
        <w:rPr>
          <w:rFonts w:asciiTheme="majorHAnsi" w:eastAsia="Times New Roman" w:hAnsiTheme="majorHAnsi" w:cstheme="majorHAnsi"/>
          <w:b/>
          <w:bCs/>
          <w:kern w:val="36"/>
          <w:sz w:val="24"/>
          <w:szCs w:val="24"/>
        </w:rPr>
        <w:t>Business Recommendations</w:t>
      </w:r>
    </w:p>
    <w:p w14:paraId="178D77CD" w14:textId="77777777"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Risk-Based Pricing</w:t>
      </w:r>
      <w:r w:rsidRPr="00B340D6">
        <w:rPr>
          <w:rFonts w:asciiTheme="majorHAnsi" w:eastAsia="Times New Roman" w:hAnsiTheme="majorHAnsi" w:cstheme="majorHAnsi"/>
          <w:sz w:val="24"/>
          <w:szCs w:val="24"/>
        </w:rPr>
        <w:br/>
        <w:t>Insurers should consider adjusting premiums for older policyholders and high-risk vehicle segments.</w:t>
      </w:r>
    </w:p>
    <w:p w14:paraId="2939A261" w14:textId="77777777"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Vehicle Risk Modeling</w:t>
      </w:r>
      <w:r w:rsidRPr="00B340D6">
        <w:rPr>
          <w:rFonts w:asciiTheme="majorHAnsi" w:eastAsia="Times New Roman" w:hAnsiTheme="majorHAnsi" w:cstheme="majorHAnsi"/>
          <w:sz w:val="24"/>
          <w:szCs w:val="24"/>
        </w:rPr>
        <w:br/>
        <w:t>Car manufacturer and model data can be incorporated into predictive underwriting models.</w:t>
      </w:r>
    </w:p>
    <w:p w14:paraId="231731D7" w14:textId="77777777"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Customer Segmentation</w:t>
      </w:r>
      <w:r w:rsidRPr="00B340D6">
        <w:rPr>
          <w:rFonts w:asciiTheme="majorHAnsi" w:eastAsia="Times New Roman" w:hAnsiTheme="majorHAnsi" w:cstheme="majorHAnsi"/>
          <w:sz w:val="24"/>
          <w:szCs w:val="24"/>
        </w:rPr>
        <w:br/>
        <w:t>Segmenting policyholders by age and vehicle type may improve claims forecasting.</w:t>
      </w:r>
    </w:p>
    <w:p w14:paraId="4BDFCD56" w14:textId="77777777"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Portfolio Monitoring</w:t>
      </w:r>
      <w:r w:rsidRPr="00B340D6">
        <w:rPr>
          <w:rFonts w:asciiTheme="majorHAnsi" w:eastAsia="Times New Roman" w:hAnsiTheme="majorHAnsi" w:cstheme="majorHAnsi"/>
          <w:sz w:val="24"/>
          <w:szCs w:val="24"/>
        </w:rPr>
        <w:br/>
        <w:t>Regular monitoring dashboards like this can help insurers detect risk concentration early.</w:t>
      </w:r>
    </w:p>
    <w:p w14:paraId="061E0E94" w14:textId="77777777" w:rsidR="002A7327" w:rsidRPr="00B340D6" w:rsidRDefault="002A7327" w:rsidP="002A7327">
      <w:pPr>
        <w:spacing w:before="100" w:beforeAutospacing="1" w:after="100" w:afterAutospacing="1" w:line="240" w:lineRule="auto"/>
        <w:outlineLvl w:val="0"/>
        <w:rPr>
          <w:rFonts w:asciiTheme="majorHAnsi" w:eastAsia="Times New Roman" w:hAnsiTheme="majorHAnsi" w:cstheme="majorHAnsi"/>
          <w:b/>
          <w:bCs/>
          <w:kern w:val="36"/>
          <w:sz w:val="24"/>
          <w:szCs w:val="24"/>
        </w:rPr>
      </w:pPr>
      <w:r w:rsidRPr="00B340D6">
        <w:rPr>
          <w:rFonts w:asciiTheme="majorHAnsi" w:eastAsia="Times New Roman" w:hAnsiTheme="majorHAnsi" w:cstheme="majorHAnsi"/>
          <w:b/>
          <w:bCs/>
          <w:kern w:val="36"/>
          <w:sz w:val="24"/>
          <w:szCs w:val="24"/>
        </w:rPr>
        <w:t>Files Included</w:t>
      </w:r>
    </w:p>
    <w:p w14:paraId="4A2206AD" w14:textId="47BFA85A" w:rsidR="002A7327" w:rsidRPr="00B340D6" w:rsidRDefault="002A7327" w:rsidP="002A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sz w:val="24"/>
          <w:szCs w:val="24"/>
        </w:rPr>
        <w:t>Insurance-Claims-Analysis</w:t>
      </w:r>
      <w:r w:rsidRPr="00B340D6">
        <w:rPr>
          <w:rFonts w:asciiTheme="majorHAnsi" w:eastAsia="Times New Roman" w:hAnsiTheme="majorHAnsi" w:cstheme="majorHAnsi"/>
          <w:sz w:val="24"/>
          <w:szCs w:val="24"/>
        </w:rPr>
        <w:br/>
        <w:t>│</w:t>
      </w:r>
      <w:r w:rsidRPr="00B340D6">
        <w:rPr>
          <w:rFonts w:asciiTheme="majorHAnsi" w:eastAsia="Times New Roman" w:hAnsiTheme="majorHAnsi" w:cstheme="majorHAnsi"/>
          <w:sz w:val="24"/>
          <w:szCs w:val="24"/>
        </w:rPr>
        <w:br/>
      </w:r>
      <w:r w:rsidRPr="00B340D6">
        <w:rPr>
          <w:rFonts w:ascii="Arial" w:eastAsia="Times New Roman" w:hAnsi="Arial" w:cs="Arial"/>
          <w:sz w:val="24"/>
          <w:szCs w:val="24"/>
        </w:rPr>
        <w:t>├</w:t>
      </w:r>
      <w:r w:rsidRPr="00B340D6">
        <w:rPr>
          <w:rFonts w:ascii="Calibri" w:eastAsia="Times New Roman" w:hAnsi="Calibri" w:cs="Calibri"/>
          <w:sz w:val="24"/>
          <w:szCs w:val="24"/>
        </w:rPr>
        <w:t>──</w:t>
      </w:r>
      <w:r w:rsidRPr="00B340D6">
        <w:rPr>
          <w:rFonts w:asciiTheme="majorHAnsi" w:eastAsia="Times New Roman" w:hAnsiTheme="majorHAnsi" w:cstheme="majorHAnsi"/>
          <w:sz w:val="24"/>
          <w:szCs w:val="24"/>
        </w:rPr>
        <w:t xml:space="preserve"> Insurance Claims Dashboard</w:t>
      </w:r>
      <w:r w:rsidRPr="00B340D6">
        <w:rPr>
          <w:rFonts w:asciiTheme="majorHAnsi" w:eastAsia="Times New Roman" w:hAnsiTheme="majorHAnsi" w:cstheme="majorHAnsi"/>
          <w:sz w:val="24"/>
          <w:szCs w:val="24"/>
        </w:rPr>
        <w:br/>
      </w:r>
      <w:r w:rsidRPr="00B340D6">
        <w:rPr>
          <w:rFonts w:ascii="Arial" w:eastAsia="Times New Roman" w:hAnsi="Arial" w:cs="Arial"/>
          <w:sz w:val="24"/>
          <w:szCs w:val="24"/>
        </w:rPr>
        <w:t>├</w:t>
      </w:r>
      <w:r w:rsidRPr="00B340D6">
        <w:rPr>
          <w:rFonts w:ascii="Calibri" w:eastAsia="Times New Roman" w:hAnsi="Calibri" w:cs="Calibri"/>
          <w:sz w:val="24"/>
          <w:szCs w:val="24"/>
        </w:rPr>
        <w:t>──</w:t>
      </w:r>
      <w:r w:rsidRPr="00B340D6">
        <w:rPr>
          <w:rFonts w:asciiTheme="majorHAnsi" w:eastAsia="Times New Roman" w:hAnsiTheme="majorHAnsi" w:cstheme="majorHAnsi"/>
          <w:sz w:val="24"/>
          <w:szCs w:val="24"/>
        </w:rPr>
        <w:t xml:space="preserve"> </w:t>
      </w:r>
      <w:r w:rsidR="00F14089" w:rsidRPr="00B340D6">
        <w:rPr>
          <w:rFonts w:asciiTheme="majorHAnsi" w:eastAsia="Times New Roman" w:hAnsiTheme="majorHAnsi" w:cstheme="majorHAnsi"/>
          <w:sz w:val="24"/>
          <w:szCs w:val="24"/>
        </w:rPr>
        <w:t>Raw_</w:t>
      </w:r>
      <w:r w:rsidRPr="00B340D6">
        <w:rPr>
          <w:rFonts w:asciiTheme="majorHAnsi" w:eastAsia="Times New Roman" w:hAnsiTheme="majorHAnsi" w:cstheme="majorHAnsi"/>
          <w:sz w:val="24"/>
          <w:szCs w:val="24"/>
        </w:rPr>
        <w:t>data.csv</w:t>
      </w:r>
      <w:r w:rsidRPr="00B340D6">
        <w:rPr>
          <w:rFonts w:asciiTheme="majorHAnsi" w:eastAsia="Times New Roman" w:hAnsiTheme="majorHAnsi" w:cstheme="majorHAnsi"/>
          <w:sz w:val="24"/>
          <w:szCs w:val="24"/>
        </w:rPr>
        <w:br/>
      </w:r>
      <w:r w:rsidRPr="00B340D6">
        <w:rPr>
          <w:rFonts w:ascii="Arial" w:eastAsia="Times New Roman" w:hAnsi="Arial" w:cs="Arial"/>
          <w:sz w:val="24"/>
          <w:szCs w:val="24"/>
        </w:rPr>
        <w:t>├</w:t>
      </w:r>
      <w:r w:rsidRPr="00B340D6">
        <w:rPr>
          <w:rFonts w:ascii="Calibri" w:eastAsia="Times New Roman" w:hAnsi="Calibri" w:cs="Calibri"/>
          <w:sz w:val="24"/>
          <w:szCs w:val="24"/>
        </w:rPr>
        <w:t>──</w:t>
      </w:r>
      <w:r w:rsidRPr="00B340D6">
        <w:rPr>
          <w:rFonts w:asciiTheme="majorHAnsi" w:eastAsia="Times New Roman" w:hAnsiTheme="majorHAnsi" w:cstheme="majorHAnsi"/>
          <w:sz w:val="24"/>
          <w:szCs w:val="24"/>
        </w:rPr>
        <w:t xml:space="preserve"> </w:t>
      </w:r>
      <w:r w:rsidR="00F14089" w:rsidRPr="00B340D6">
        <w:rPr>
          <w:rFonts w:asciiTheme="majorHAnsi" w:eastAsia="Times New Roman" w:hAnsiTheme="majorHAnsi" w:cstheme="majorHAnsi"/>
          <w:sz w:val="24"/>
          <w:szCs w:val="24"/>
        </w:rPr>
        <w:t>Raw_data</w:t>
      </w:r>
      <w:r w:rsidRPr="00B340D6">
        <w:rPr>
          <w:rFonts w:asciiTheme="majorHAnsi" w:eastAsia="Times New Roman" w:hAnsiTheme="majorHAnsi" w:cstheme="majorHAnsi"/>
          <w:sz w:val="24"/>
          <w:szCs w:val="24"/>
        </w:rPr>
        <w:br/>
      </w:r>
      <w:r w:rsidRPr="00B340D6">
        <w:rPr>
          <w:rFonts w:ascii="Arial" w:eastAsia="Times New Roman" w:hAnsi="Arial" w:cs="Arial"/>
          <w:sz w:val="24"/>
          <w:szCs w:val="24"/>
        </w:rPr>
        <w:t>├</w:t>
      </w:r>
      <w:r w:rsidRPr="00B340D6">
        <w:rPr>
          <w:rFonts w:ascii="Calibri" w:eastAsia="Times New Roman" w:hAnsi="Calibri" w:cs="Calibri"/>
          <w:sz w:val="24"/>
          <w:szCs w:val="24"/>
        </w:rPr>
        <w:t>──</w:t>
      </w:r>
      <w:r w:rsidRPr="00B340D6">
        <w:rPr>
          <w:rFonts w:asciiTheme="majorHAnsi" w:eastAsia="Times New Roman" w:hAnsiTheme="majorHAnsi" w:cstheme="majorHAnsi"/>
          <w:sz w:val="24"/>
          <w:szCs w:val="24"/>
        </w:rPr>
        <w:t xml:space="preserve"> </w:t>
      </w:r>
      <w:r w:rsidR="00F14089" w:rsidRPr="00B340D6">
        <w:rPr>
          <w:rFonts w:asciiTheme="majorHAnsi" w:eastAsia="Times New Roman" w:hAnsiTheme="majorHAnsi" w:cstheme="majorHAnsi"/>
          <w:sz w:val="24"/>
          <w:szCs w:val="24"/>
        </w:rPr>
        <w:t>MySQL Scripts</w:t>
      </w:r>
      <w:r w:rsidRPr="00B340D6">
        <w:rPr>
          <w:rFonts w:asciiTheme="majorHAnsi" w:eastAsia="Times New Roman" w:hAnsiTheme="majorHAnsi" w:cstheme="majorHAnsi"/>
          <w:sz w:val="24"/>
          <w:szCs w:val="24"/>
        </w:rPr>
        <w:br/>
        <w:t>└── README.md</w:t>
      </w:r>
    </w:p>
    <w:p w14:paraId="1666FC8F" w14:textId="0A976040" w:rsidR="002A7327" w:rsidRPr="00B340D6" w:rsidRDefault="002A7327" w:rsidP="002A7327">
      <w:pPr>
        <w:spacing w:after="0" w:line="240" w:lineRule="auto"/>
        <w:rPr>
          <w:rFonts w:asciiTheme="majorHAnsi" w:eastAsia="Times New Roman" w:hAnsiTheme="majorHAnsi" w:cstheme="majorHAnsi"/>
          <w:sz w:val="24"/>
          <w:szCs w:val="24"/>
        </w:rPr>
      </w:pPr>
    </w:p>
    <w:p w14:paraId="07F3A809" w14:textId="77777777" w:rsidR="002A7327" w:rsidRPr="00B340D6" w:rsidRDefault="002A7327" w:rsidP="002A7327">
      <w:pPr>
        <w:spacing w:before="100" w:beforeAutospacing="1" w:after="100" w:afterAutospacing="1" w:line="240" w:lineRule="auto"/>
        <w:outlineLvl w:val="0"/>
        <w:rPr>
          <w:rFonts w:asciiTheme="majorHAnsi" w:eastAsia="Times New Roman" w:hAnsiTheme="majorHAnsi" w:cstheme="majorHAnsi"/>
          <w:b/>
          <w:bCs/>
          <w:kern w:val="36"/>
          <w:sz w:val="28"/>
          <w:szCs w:val="28"/>
        </w:rPr>
      </w:pPr>
      <w:r w:rsidRPr="00B340D6">
        <w:rPr>
          <w:rFonts w:asciiTheme="majorHAnsi" w:eastAsia="Times New Roman" w:hAnsiTheme="majorHAnsi" w:cstheme="majorHAnsi"/>
          <w:b/>
          <w:bCs/>
          <w:kern w:val="36"/>
          <w:sz w:val="28"/>
          <w:szCs w:val="28"/>
        </w:rPr>
        <w:t>Project Author</w:t>
      </w:r>
    </w:p>
    <w:p w14:paraId="29820995" w14:textId="4BF48B17" w:rsidR="002A7327" w:rsidRPr="00B340D6" w:rsidRDefault="002A7327" w:rsidP="002A7327">
      <w:pPr>
        <w:spacing w:before="100" w:beforeAutospacing="1" w:after="100" w:afterAutospacing="1" w:line="240" w:lineRule="auto"/>
        <w:rPr>
          <w:rFonts w:asciiTheme="majorHAnsi" w:eastAsia="Times New Roman" w:hAnsiTheme="majorHAnsi" w:cstheme="majorHAnsi"/>
          <w:sz w:val="24"/>
          <w:szCs w:val="24"/>
        </w:rPr>
      </w:pPr>
      <w:r w:rsidRPr="00B340D6">
        <w:rPr>
          <w:rFonts w:asciiTheme="majorHAnsi" w:eastAsia="Times New Roman" w:hAnsiTheme="majorHAnsi" w:cstheme="majorHAnsi"/>
          <w:b/>
          <w:bCs/>
          <w:sz w:val="24"/>
          <w:szCs w:val="24"/>
        </w:rPr>
        <w:t>Fausat Afeez</w:t>
      </w:r>
      <w:r w:rsidRPr="00B340D6">
        <w:rPr>
          <w:rFonts w:asciiTheme="majorHAnsi" w:eastAsia="Times New Roman" w:hAnsiTheme="majorHAnsi" w:cstheme="majorHAnsi"/>
          <w:sz w:val="24"/>
          <w:szCs w:val="24"/>
        </w:rPr>
        <w:br/>
        <w:t xml:space="preserve">Actuarial Data Analyst | Risk Analytics | </w:t>
      </w:r>
      <w:r w:rsidR="00F14089" w:rsidRPr="00B340D6">
        <w:rPr>
          <w:rFonts w:asciiTheme="majorHAnsi" w:eastAsia="Times New Roman" w:hAnsiTheme="majorHAnsi" w:cstheme="majorHAnsi"/>
          <w:sz w:val="24"/>
          <w:szCs w:val="24"/>
        </w:rPr>
        <w:t>Finance Analytics</w:t>
      </w:r>
    </w:p>
    <w:p w14:paraId="5608D9D3" w14:textId="77777777" w:rsidR="002A7327" w:rsidRPr="00B340D6" w:rsidRDefault="002A7327">
      <w:pPr>
        <w:rPr>
          <w:rFonts w:asciiTheme="majorHAnsi" w:hAnsiTheme="majorHAnsi" w:cstheme="majorHAnsi"/>
        </w:rPr>
      </w:pPr>
    </w:p>
    <w:p w14:paraId="14971A66" w14:textId="77777777" w:rsidR="002A7327" w:rsidRPr="00B340D6" w:rsidRDefault="002A7327">
      <w:pPr>
        <w:rPr>
          <w:rFonts w:asciiTheme="majorHAnsi" w:hAnsiTheme="majorHAnsi" w:cstheme="majorHAnsi"/>
        </w:rPr>
      </w:pPr>
    </w:p>
    <w:sectPr w:rsidR="002A7327" w:rsidRPr="00B340D6" w:rsidSect="002A7327">
      <w:pgSz w:w="12240" w:h="15840"/>
      <w:pgMar w:top="540" w:right="810" w:bottom="72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147513"/>
    <w:multiLevelType w:val="multilevel"/>
    <w:tmpl w:val="4DE6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40FAC"/>
    <w:multiLevelType w:val="multilevel"/>
    <w:tmpl w:val="F39A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C7A18"/>
    <w:multiLevelType w:val="multilevel"/>
    <w:tmpl w:val="5D74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5782E"/>
    <w:multiLevelType w:val="multilevel"/>
    <w:tmpl w:val="BCBE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E1FD3"/>
    <w:multiLevelType w:val="multilevel"/>
    <w:tmpl w:val="3634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0F0017"/>
    <w:multiLevelType w:val="multilevel"/>
    <w:tmpl w:val="37F2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DB4BAA"/>
    <w:multiLevelType w:val="multilevel"/>
    <w:tmpl w:val="D6BA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077493">
    <w:abstractNumId w:val="8"/>
  </w:num>
  <w:num w:numId="2" w16cid:durableId="730426309">
    <w:abstractNumId w:val="6"/>
  </w:num>
  <w:num w:numId="3" w16cid:durableId="2133749025">
    <w:abstractNumId w:val="5"/>
  </w:num>
  <w:num w:numId="4" w16cid:durableId="65498415">
    <w:abstractNumId w:val="4"/>
  </w:num>
  <w:num w:numId="5" w16cid:durableId="110711995">
    <w:abstractNumId w:val="7"/>
  </w:num>
  <w:num w:numId="6" w16cid:durableId="80372791">
    <w:abstractNumId w:val="3"/>
  </w:num>
  <w:num w:numId="7" w16cid:durableId="1985695445">
    <w:abstractNumId w:val="2"/>
  </w:num>
  <w:num w:numId="8" w16cid:durableId="1885412050">
    <w:abstractNumId w:val="1"/>
  </w:num>
  <w:num w:numId="9" w16cid:durableId="959340347">
    <w:abstractNumId w:val="0"/>
  </w:num>
  <w:num w:numId="10" w16cid:durableId="1425762562">
    <w:abstractNumId w:val="14"/>
  </w:num>
  <w:num w:numId="11" w16cid:durableId="471755404">
    <w:abstractNumId w:val="13"/>
  </w:num>
  <w:num w:numId="12" w16cid:durableId="667052411">
    <w:abstractNumId w:val="10"/>
  </w:num>
  <w:num w:numId="13" w16cid:durableId="1996906898">
    <w:abstractNumId w:val="11"/>
  </w:num>
  <w:num w:numId="14" w16cid:durableId="99882111">
    <w:abstractNumId w:val="12"/>
  </w:num>
  <w:num w:numId="15" w16cid:durableId="1467119221">
    <w:abstractNumId w:val="15"/>
  </w:num>
  <w:num w:numId="16" w16cid:durableId="3236332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7395"/>
    <w:rsid w:val="0029639D"/>
    <w:rsid w:val="002A7327"/>
    <w:rsid w:val="00326F90"/>
    <w:rsid w:val="00406B28"/>
    <w:rsid w:val="006E6B3F"/>
    <w:rsid w:val="00AA1D8D"/>
    <w:rsid w:val="00B11B2C"/>
    <w:rsid w:val="00B12EA0"/>
    <w:rsid w:val="00B340D6"/>
    <w:rsid w:val="00B47730"/>
    <w:rsid w:val="00CB0664"/>
    <w:rsid w:val="00F140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C0615"/>
  <w14:defaultImageDpi w14:val="300"/>
  <w15:docId w15:val="{86EFCAC8-4130-4A77-9F77-497FBDF08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522859">
      <w:bodyDiv w:val="1"/>
      <w:marLeft w:val="0"/>
      <w:marRight w:val="0"/>
      <w:marTop w:val="0"/>
      <w:marBottom w:val="0"/>
      <w:divBdr>
        <w:top w:val="none" w:sz="0" w:space="0" w:color="auto"/>
        <w:left w:val="none" w:sz="0" w:space="0" w:color="auto"/>
        <w:bottom w:val="none" w:sz="0" w:space="0" w:color="auto"/>
        <w:right w:val="none" w:sz="0" w:space="0" w:color="auto"/>
      </w:divBdr>
    </w:div>
    <w:div w:id="1477839977">
      <w:bodyDiv w:val="1"/>
      <w:marLeft w:val="0"/>
      <w:marRight w:val="0"/>
      <w:marTop w:val="0"/>
      <w:marBottom w:val="0"/>
      <w:divBdr>
        <w:top w:val="none" w:sz="0" w:space="0" w:color="auto"/>
        <w:left w:val="none" w:sz="0" w:space="0" w:color="auto"/>
        <w:bottom w:val="none" w:sz="0" w:space="0" w:color="auto"/>
        <w:right w:val="none" w:sz="0" w:space="0" w:color="auto"/>
      </w:divBdr>
    </w:div>
    <w:div w:id="1679041387">
      <w:bodyDiv w:val="1"/>
      <w:marLeft w:val="0"/>
      <w:marRight w:val="0"/>
      <w:marTop w:val="0"/>
      <w:marBottom w:val="0"/>
      <w:divBdr>
        <w:top w:val="none" w:sz="0" w:space="0" w:color="auto"/>
        <w:left w:val="none" w:sz="0" w:space="0" w:color="auto"/>
        <w:bottom w:val="none" w:sz="0" w:space="0" w:color="auto"/>
        <w:right w:val="none" w:sz="0" w:space="0" w:color="auto"/>
      </w:divBdr>
      <w:divsChild>
        <w:div w:id="267544753">
          <w:marLeft w:val="0"/>
          <w:marRight w:val="0"/>
          <w:marTop w:val="0"/>
          <w:marBottom w:val="0"/>
          <w:divBdr>
            <w:top w:val="none" w:sz="0" w:space="0" w:color="auto"/>
            <w:left w:val="none" w:sz="0" w:space="0" w:color="auto"/>
            <w:bottom w:val="none" w:sz="0" w:space="0" w:color="auto"/>
            <w:right w:val="none" w:sz="0" w:space="0" w:color="auto"/>
          </w:divBdr>
          <w:divsChild>
            <w:div w:id="480973135">
              <w:marLeft w:val="0"/>
              <w:marRight w:val="0"/>
              <w:marTop w:val="0"/>
              <w:marBottom w:val="0"/>
              <w:divBdr>
                <w:top w:val="none" w:sz="0" w:space="0" w:color="auto"/>
                <w:left w:val="none" w:sz="0" w:space="0" w:color="auto"/>
                <w:bottom w:val="none" w:sz="0" w:space="0" w:color="auto"/>
                <w:right w:val="none" w:sz="0" w:space="0" w:color="auto"/>
              </w:divBdr>
              <w:divsChild>
                <w:div w:id="1165707937">
                  <w:marLeft w:val="0"/>
                  <w:marRight w:val="0"/>
                  <w:marTop w:val="0"/>
                  <w:marBottom w:val="0"/>
                  <w:divBdr>
                    <w:top w:val="none" w:sz="0" w:space="0" w:color="auto"/>
                    <w:left w:val="none" w:sz="0" w:space="0" w:color="auto"/>
                    <w:bottom w:val="none" w:sz="0" w:space="0" w:color="auto"/>
                    <w:right w:val="none" w:sz="0" w:space="0" w:color="auto"/>
                  </w:divBdr>
                  <w:divsChild>
                    <w:div w:id="255745870">
                      <w:marLeft w:val="0"/>
                      <w:marRight w:val="0"/>
                      <w:marTop w:val="0"/>
                      <w:marBottom w:val="0"/>
                      <w:divBdr>
                        <w:top w:val="none" w:sz="0" w:space="0" w:color="auto"/>
                        <w:left w:val="none" w:sz="0" w:space="0" w:color="auto"/>
                        <w:bottom w:val="none" w:sz="0" w:space="0" w:color="auto"/>
                        <w:right w:val="none" w:sz="0" w:space="0" w:color="auto"/>
                      </w:divBdr>
                      <w:divsChild>
                        <w:div w:id="1141385116">
                          <w:marLeft w:val="0"/>
                          <w:marRight w:val="0"/>
                          <w:marTop w:val="0"/>
                          <w:marBottom w:val="0"/>
                          <w:divBdr>
                            <w:top w:val="none" w:sz="0" w:space="0" w:color="auto"/>
                            <w:left w:val="none" w:sz="0" w:space="0" w:color="auto"/>
                            <w:bottom w:val="none" w:sz="0" w:space="0" w:color="auto"/>
                            <w:right w:val="none" w:sz="0" w:space="0" w:color="auto"/>
                          </w:divBdr>
                          <w:divsChild>
                            <w:div w:id="1127046506">
                              <w:marLeft w:val="0"/>
                              <w:marRight w:val="0"/>
                              <w:marTop w:val="0"/>
                              <w:marBottom w:val="0"/>
                              <w:divBdr>
                                <w:top w:val="none" w:sz="0" w:space="0" w:color="auto"/>
                                <w:left w:val="none" w:sz="0" w:space="0" w:color="auto"/>
                                <w:bottom w:val="none" w:sz="0" w:space="0" w:color="auto"/>
                                <w:right w:val="none" w:sz="0" w:space="0" w:color="auto"/>
                              </w:divBdr>
                              <w:divsChild>
                                <w:div w:id="1083642456">
                                  <w:marLeft w:val="0"/>
                                  <w:marRight w:val="0"/>
                                  <w:marTop w:val="0"/>
                                  <w:marBottom w:val="0"/>
                                  <w:divBdr>
                                    <w:top w:val="none" w:sz="0" w:space="0" w:color="auto"/>
                                    <w:left w:val="none" w:sz="0" w:space="0" w:color="auto"/>
                                    <w:bottom w:val="none" w:sz="0" w:space="0" w:color="auto"/>
                                    <w:right w:val="none" w:sz="0" w:space="0" w:color="auto"/>
                                  </w:divBdr>
                                  <w:divsChild>
                                    <w:div w:id="1956058946">
                                      <w:marLeft w:val="0"/>
                                      <w:marRight w:val="0"/>
                                      <w:marTop w:val="0"/>
                                      <w:marBottom w:val="0"/>
                                      <w:divBdr>
                                        <w:top w:val="none" w:sz="0" w:space="0" w:color="auto"/>
                                        <w:left w:val="none" w:sz="0" w:space="0" w:color="auto"/>
                                        <w:bottom w:val="none" w:sz="0" w:space="0" w:color="auto"/>
                                        <w:right w:val="none" w:sz="0" w:space="0" w:color="auto"/>
                                      </w:divBdr>
                                      <w:divsChild>
                                        <w:div w:id="1877082212">
                                          <w:marLeft w:val="0"/>
                                          <w:marRight w:val="0"/>
                                          <w:marTop w:val="0"/>
                                          <w:marBottom w:val="0"/>
                                          <w:divBdr>
                                            <w:top w:val="none" w:sz="0" w:space="0" w:color="auto"/>
                                            <w:left w:val="none" w:sz="0" w:space="0" w:color="auto"/>
                                            <w:bottom w:val="none" w:sz="0" w:space="0" w:color="auto"/>
                                            <w:right w:val="none" w:sz="0" w:space="0" w:color="auto"/>
                                          </w:divBdr>
                                          <w:divsChild>
                                            <w:div w:id="621569945">
                                              <w:marLeft w:val="0"/>
                                              <w:marRight w:val="0"/>
                                              <w:marTop w:val="0"/>
                                              <w:marBottom w:val="0"/>
                                              <w:divBdr>
                                                <w:top w:val="none" w:sz="0" w:space="0" w:color="auto"/>
                                                <w:left w:val="none" w:sz="0" w:space="0" w:color="auto"/>
                                                <w:bottom w:val="none" w:sz="0" w:space="0" w:color="auto"/>
                                                <w:right w:val="none" w:sz="0" w:space="0" w:color="auto"/>
                                              </w:divBdr>
                                              <w:divsChild>
                                                <w:div w:id="1867283642">
                                                  <w:marLeft w:val="0"/>
                                                  <w:marRight w:val="0"/>
                                                  <w:marTop w:val="0"/>
                                                  <w:marBottom w:val="0"/>
                                                  <w:divBdr>
                                                    <w:top w:val="none" w:sz="0" w:space="0" w:color="auto"/>
                                                    <w:left w:val="none" w:sz="0" w:space="0" w:color="auto"/>
                                                    <w:bottom w:val="none" w:sz="0" w:space="0" w:color="auto"/>
                                                    <w:right w:val="none" w:sz="0" w:space="0" w:color="auto"/>
                                                  </w:divBdr>
                                                  <w:divsChild>
                                                    <w:div w:id="50220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Fausat Afeez</cp:lastModifiedBy>
  <cp:revision>3</cp:revision>
  <dcterms:created xsi:type="dcterms:W3CDTF">2026-03-11T18:52:00Z</dcterms:created>
  <dcterms:modified xsi:type="dcterms:W3CDTF">2026-03-12T10:59:00Z</dcterms:modified>
  <cp:category/>
</cp:coreProperties>
</file>