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20E6D" w14:textId="77777777" w:rsidR="000E15EB" w:rsidRDefault="000E15EB" w:rsidP="000E15EB">
      <w:pPr>
        <w:jc w:val="center"/>
      </w:pPr>
      <w:r>
        <w:rPr>
          <w:noProof/>
        </w:rPr>
        <w:drawing>
          <wp:inline distT="0" distB="0" distL="0" distR="0" wp14:anchorId="4BAE7674" wp14:editId="7F032A4F">
            <wp:extent cx="3996112" cy="2495862"/>
            <wp:effectExtent l="0" t="0" r="4445" b="6350"/>
            <wp:docPr id="1463706597" name="Picture 6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06597" name="Picture 6" descr="A graph of a number of data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41" cy="25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37E0" w14:textId="77777777" w:rsidR="000E15EB" w:rsidRDefault="000E15EB" w:rsidP="000E15EB">
      <w:pPr>
        <w:jc w:val="center"/>
      </w:pPr>
      <w:r>
        <w:t>(B)</w:t>
      </w:r>
    </w:p>
    <w:p w14:paraId="518C62C4" w14:textId="77777777" w:rsidR="000E15EB" w:rsidRDefault="000E15EB" w:rsidP="000E15EB">
      <w:pPr>
        <w:jc w:val="center"/>
      </w:pPr>
      <w:r>
        <w:rPr>
          <w:noProof/>
        </w:rPr>
        <w:drawing>
          <wp:inline distT="0" distB="0" distL="0" distR="0" wp14:anchorId="377B27AA" wp14:editId="0AAD6E1E">
            <wp:extent cx="3755036" cy="1794073"/>
            <wp:effectExtent l="0" t="0" r="4445" b="0"/>
            <wp:docPr id="1639053294" name="Picture 7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53294" name="Picture 7" descr="A graph of a number of peop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038" cy="18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E39B" w14:textId="77777777" w:rsidR="000E15EB" w:rsidRDefault="000E15EB" w:rsidP="000E15EB">
      <w:pPr>
        <w:jc w:val="center"/>
      </w:pPr>
      <w:r>
        <w:t>(C)</w:t>
      </w:r>
    </w:p>
    <w:p w14:paraId="09E96217" w14:textId="77777777" w:rsidR="000E15EB" w:rsidRDefault="000E15EB" w:rsidP="000E15EB">
      <w:pPr>
        <w:jc w:val="center"/>
      </w:pPr>
      <w:r>
        <w:rPr>
          <w:noProof/>
        </w:rPr>
        <w:drawing>
          <wp:inline distT="0" distB="0" distL="0" distR="0" wp14:anchorId="3A6621B5" wp14:editId="7B27E80E">
            <wp:extent cx="3447738" cy="1252384"/>
            <wp:effectExtent l="0" t="0" r="0" b="5080"/>
            <wp:docPr id="62730304" name="Picture 8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0304" name="Picture 8" descr="A graph of a number of peopl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538" cy="12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C959" w14:textId="77777777" w:rsidR="000E15EB" w:rsidRDefault="000E15EB" w:rsidP="000E15EB">
      <w:pPr>
        <w:jc w:val="center"/>
      </w:pPr>
      <w:r>
        <w:t>(D)</w:t>
      </w:r>
    </w:p>
    <w:p w14:paraId="0A8D2FA1" w14:textId="77777777" w:rsidR="000E15EB" w:rsidRDefault="000E15EB" w:rsidP="000E15EB">
      <w:pPr>
        <w:jc w:val="center"/>
      </w:pPr>
    </w:p>
    <w:p w14:paraId="6568F439" w14:textId="46AEF53D" w:rsidR="000E15EB" w:rsidRPr="009D1D2E" w:rsidRDefault="000E15EB" w:rsidP="000E15EB">
      <w:pPr>
        <w:jc w:val="center"/>
        <w:rPr>
          <w:sz w:val="22"/>
          <w:szCs w:val="22"/>
        </w:rPr>
      </w:pPr>
      <w:r w:rsidRPr="00346CCC">
        <w:rPr>
          <w:b/>
          <w:bCs/>
        </w:rPr>
        <w:t xml:space="preserve">Supplemental Figure </w:t>
      </w:r>
      <w:r>
        <w:rPr>
          <w:b/>
          <w:bCs/>
        </w:rPr>
        <w:t>3-1</w:t>
      </w:r>
      <w:r w:rsidRPr="00346CCC">
        <w:rPr>
          <w:b/>
          <w:bCs/>
        </w:rPr>
        <w:t xml:space="preserve">: </w:t>
      </w:r>
      <w:r w:rsidRPr="009D1D2E">
        <w:rPr>
          <w:sz w:val="22"/>
          <w:szCs w:val="22"/>
        </w:rPr>
        <w:t xml:space="preserve">Upset Plot of Candidate SNPs Identified for Local Adaptation and Environmental Association Across LFMM, RDA, </w:t>
      </w:r>
      <w:proofErr w:type="spellStart"/>
      <w:r w:rsidRPr="009D1D2E">
        <w:rPr>
          <w:sz w:val="22"/>
          <w:szCs w:val="22"/>
        </w:rPr>
        <w:t>Pcadapt</w:t>
      </w:r>
      <w:proofErr w:type="spellEnd"/>
      <w:r w:rsidRPr="009D1D2E">
        <w:rPr>
          <w:sz w:val="22"/>
          <w:szCs w:val="22"/>
        </w:rPr>
        <w:t xml:space="preserve">, and </w:t>
      </w:r>
      <w:proofErr w:type="spellStart"/>
      <w:r w:rsidRPr="009D1D2E">
        <w:rPr>
          <w:sz w:val="22"/>
          <w:szCs w:val="22"/>
        </w:rPr>
        <w:t>BayesScan</w:t>
      </w:r>
      <w:proofErr w:type="spellEnd"/>
      <w:r w:rsidRPr="009D1D2E">
        <w:rPr>
          <w:sz w:val="22"/>
          <w:szCs w:val="22"/>
        </w:rPr>
        <w:t xml:space="preserve"> Analysis in </w:t>
      </w:r>
      <w:proofErr w:type="spellStart"/>
      <w:r w:rsidRPr="009D1D2E">
        <w:rPr>
          <w:sz w:val="22"/>
          <w:szCs w:val="22"/>
        </w:rPr>
        <w:t>Cx</w:t>
      </w:r>
      <w:proofErr w:type="spellEnd"/>
      <w:r w:rsidRPr="009D1D2E">
        <w:rPr>
          <w:sz w:val="22"/>
          <w:szCs w:val="22"/>
        </w:rPr>
        <w:t xml:space="preserve">. </w:t>
      </w:r>
      <w:proofErr w:type="spellStart"/>
      <w:r w:rsidRPr="009D1D2E">
        <w:rPr>
          <w:sz w:val="22"/>
          <w:szCs w:val="22"/>
        </w:rPr>
        <w:t>Tarsalis</w:t>
      </w:r>
      <w:proofErr w:type="spellEnd"/>
      <w:r w:rsidRPr="009D1D2E">
        <w:rPr>
          <w:sz w:val="22"/>
          <w:szCs w:val="22"/>
        </w:rPr>
        <w:t xml:space="preserve">. (A) LFMM PC2 across other methods (B) LFMM PC2 across other methods </w:t>
      </w:r>
    </w:p>
    <w:p w14:paraId="066E2C84" w14:textId="77777777" w:rsidR="000E15EB" w:rsidRDefault="000E15EB" w:rsidP="000E15EB">
      <w:pPr>
        <w:jc w:val="center"/>
        <w:rPr>
          <w:sz w:val="22"/>
          <w:szCs w:val="22"/>
        </w:rPr>
      </w:pPr>
      <w:r w:rsidRPr="009D1D2E">
        <w:rPr>
          <w:sz w:val="22"/>
          <w:szCs w:val="22"/>
        </w:rPr>
        <w:t>(C) LFMM PC1 and PC2 across other methods (D) LFMM PC1, PC2 and PC3 across other methods</w:t>
      </w:r>
    </w:p>
    <w:p w14:paraId="2BF59905" w14:textId="77777777" w:rsidR="000E15EB" w:rsidRDefault="000E15EB" w:rsidP="000E15EB">
      <w:pPr>
        <w:jc w:val="center"/>
        <w:rPr>
          <w:sz w:val="22"/>
          <w:szCs w:val="22"/>
        </w:rPr>
      </w:pPr>
    </w:p>
    <w:p w14:paraId="1FABC4C0" w14:textId="77777777" w:rsidR="000E15EB" w:rsidRDefault="000E15EB" w:rsidP="000E15EB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95C3C1D" wp14:editId="2CCD3C4E">
            <wp:extent cx="7366000" cy="2122665"/>
            <wp:effectExtent l="5715" t="0" r="0" b="0"/>
            <wp:docPr id="757052504" name="Picture 1" descr="A close-up of a colorful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52504" name="Picture 1" descr="A close-up of a colorful patter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66000" cy="21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C14F" w14:textId="77777777" w:rsidR="000E15EB" w:rsidRDefault="000E15EB" w:rsidP="000E15EB"/>
    <w:p w14:paraId="0DAFB916" w14:textId="0D1237B9" w:rsidR="000E15EB" w:rsidRDefault="000E15EB" w:rsidP="000E15E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b/>
          <w:bCs/>
          <w:color w:val="000000"/>
        </w:rPr>
        <w:t>Supplemental Figure 3</w:t>
      </w:r>
      <w:r>
        <w:rPr>
          <w:b/>
          <w:bCs/>
          <w:color w:val="000000"/>
        </w:rPr>
        <w:t>-2</w:t>
      </w:r>
      <w:r>
        <w:rPr>
          <w:b/>
          <w:bCs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Correlation Heatmap between Environmental Variables and RDA Candidate SNPs. </w:t>
      </w:r>
      <w:r>
        <w:rPr>
          <w:rFonts w:ascii="Times New Roman" w:eastAsia="Times New Roman" w:hAnsi="Times New Roman" w:cs="Times New Roman"/>
          <w:sz w:val="20"/>
          <w:szCs w:val="20"/>
        </w:rPr>
        <w:t>This heatmap illustrates the correlation between the environmental variables and candidate SNPs identified through the first four constrained axes of Redundancy Analysis (RDA). Each column on the x-axis represents a candidate SNP. Detailed SNP names and associated information on the 17 genes identified by SIFT4G</w:t>
      </w:r>
    </w:p>
    <w:p w14:paraId="162D5262" w14:textId="1F86B7D5" w:rsidR="00CC2AB7" w:rsidRPr="00DF7B96" w:rsidRDefault="00CC2AB7" w:rsidP="00CC2AB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E472D0A" wp14:editId="10A07BAE">
            <wp:extent cx="7904856" cy="4517422"/>
            <wp:effectExtent l="4445" t="0" r="0" b="0"/>
            <wp:docPr id="1621982863" name="Picture 1" descr="A grid of green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82863" name="Picture 1" descr="A grid of green squar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39051" cy="45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CE67" w14:textId="50FAD446" w:rsidR="00CC2AB7" w:rsidRDefault="00CC2AB7" w:rsidP="00CC2AB7">
      <w:pPr>
        <w:pStyle w:val="Caption"/>
      </w:pPr>
      <w:bookmarkStart w:id="0" w:name="_Toc193108816"/>
      <w:bookmarkStart w:id="1" w:name="_Toc193123594"/>
      <w:r>
        <w:rPr>
          <w:bCs/>
          <w:color w:val="000000"/>
        </w:rPr>
        <w:t>Supplemental Figure 3</w:t>
      </w:r>
      <w:r>
        <w:rPr>
          <w:b w:val="0"/>
          <w:bCs/>
          <w:color w:val="000000"/>
        </w:rPr>
        <w:t>-</w:t>
      </w:r>
      <w:r>
        <w:rPr>
          <w:b w:val="0"/>
          <w:bCs/>
          <w:color w:val="000000"/>
        </w:rPr>
        <w:t>3</w:t>
      </w:r>
      <w:r>
        <w:t xml:space="preserve"> Kendall's Tau </w:t>
      </w:r>
      <w:r>
        <w:t>p-values</w:t>
      </w:r>
      <w:r>
        <w:t xml:space="preserve"> Heatmap for National CDC Dataset: Annual Human Cases vs. Environmental Variables </w:t>
      </w:r>
      <w:bookmarkStart w:id="2" w:name="_ytegm57he4hx" w:colFirst="0" w:colLast="0"/>
      <w:bookmarkEnd w:id="0"/>
      <w:bookmarkEnd w:id="1"/>
      <w:bookmarkEnd w:id="2"/>
    </w:p>
    <w:p w14:paraId="7D435BF8" w14:textId="1C97BB93" w:rsidR="00CC2AB7" w:rsidRPr="00CC2AB7" w:rsidRDefault="00CC2AB7" w:rsidP="00CC2AB7">
      <w:pPr>
        <w:jc w:val="center"/>
        <w:rPr>
          <w:highlight w:val="yellow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403A4A3" wp14:editId="624BCA65">
            <wp:extent cx="7217419" cy="5905021"/>
            <wp:effectExtent l="0" t="4128" r="4763" b="4762"/>
            <wp:docPr id="994588927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8927" name="Picture 2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80659" cy="59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F707" w14:textId="359B7087" w:rsidR="000E15EB" w:rsidRPr="00CC2AB7" w:rsidRDefault="00CC2AB7" w:rsidP="000E15EB">
      <w:pPr>
        <w:jc w:val="center"/>
        <w:rPr>
          <w:sz w:val="20"/>
          <w:szCs w:val="20"/>
        </w:rPr>
      </w:pPr>
      <w:r w:rsidRPr="00CC2AB7">
        <w:rPr>
          <w:sz w:val="20"/>
          <w:szCs w:val="20"/>
        </w:rPr>
        <w:t>Supplemental Figure</w:t>
      </w:r>
      <w:r w:rsidRPr="00CC2AB7">
        <w:rPr>
          <w:sz w:val="20"/>
          <w:szCs w:val="20"/>
        </w:rPr>
        <w:t xml:space="preserve"> </w:t>
      </w:r>
      <w:r w:rsidRPr="00CC2AB7">
        <w:rPr>
          <w:sz w:val="20"/>
          <w:szCs w:val="20"/>
        </w:rPr>
        <w:t>3</w:t>
      </w:r>
      <w:r w:rsidRPr="00CC2AB7">
        <w:rPr>
          <w:sz w:val="20"/>
          <w:szCs w:val="20"/>
        </w:rPr>
        <w:t>-</w:t>
      </w:r>
      <w:r w:rsidRPr="00CC2AB7">
        <w:rPr>
          <w:sz w:val="20"/>
          <w:szCs w:val="20"/>
        </w:rPr>
        <w:fldChar w:fldCharType="begin"/>
      </w:r>
      <w:r w:rsidRPr="00CC2AB7">
        <w:rPr>
          <w:sz w:val="20"/>
          <w:szCs w:val="20"/>
        </w:rPr>
        <w:instrText xml:space="preserve"> SEQ Figure \* ARABIC \s 1 </w:instrText>
      </w:r>
      <w:r w:rsidRPr="00CC2AB7">
        <w:rPr>
          <w:sz w:val="20"/>
          <w:szCs w:val="20"/>
        </w:rPr>
        <w:fldChar w:fldCharType="separate"/>
      </w:r>
      <w:r w:rsidRPr="00CC2AB7">
        <w:rPr>
          <w:noProof/>
          <w:sz w:val="20"/>
          <w:szCs w:val="20"/>
        </w:rPr>
        <w:t>4</w:t>
      </w:r>
      <w:r w:rsidRPr="00CC2AB7">
        <w:rPr>
          <w:sz w:val="20"/>
          <w:szCs w:val="20"/>
        </w:rPr>
        <w:fldChar w:fldCharType="end"/>
      </w:r>
      <w:r w:rsidRPr="00CC2AB7">
        <w:rPr>
          <w:sz w:val="20"/>
          <w:szCs w:val="20"/>
        </w:rPr>
        <w:t xml:space="preserve"> Kendall’s Correlation between Environmental Variables and WNV Disease Count Using CDPH-Official D</w:t>
      </w:r>
      <w:commentRangeStart w:id="3"/>
      <w:r w:rsidRPr="00CC2AB7">
        <w:rPr>
          <w:sz w:val="20"/>
          <w:szCs w:val="20"/>
        </w:rPr>
        <w:t>ataset</w:t>
      </w:r>
      <w:commentRangeEnd w:id="3"/>
      <w:r w:rsidRPr="00CC2AB7">
        <w:rPr>
          <w:rStyle w:val="CommentReference"/>
          <w:sz w:val="20"/>
          <w:szCs w:val="20"/>
        </w:rPr>
        <w:commentReference w:id="3"/>
      </w:r>
    </w:p>
    <w:p w14:paraId="6F8CDCA9" w14:textId="77777777" w:rsidR="00DF1A8F" w:rsidRDefault="00DF1A8F"/>
    <w:p w14:paraId="425DFC85" w14:textId="77777777" w:rsidR="000E15EB" w:rsidRDefault="000E15EB"/>
    <w:sectPr w:rsidR="000E15EB" w:rsidSect="000E15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" w:author="Yunfei Liao" w:date="2025-03-16T21:17:00Z" w:initials="EL">
    <w:p w14:paraId="2B192887" w14:textId="77777777" w:rsidR="00CC2AB7" w:rsidRDefault="00CC2AB7" w:rsidP="00CC2AB7">
      <w:r>
        <w:rPr>
          <w:rStyle w:val="CommentReference"/>
        </w:rPr>
        <w:annotationRef/>
      </w:r>
      <w:r>
        <w:rPr>
          <w:sz w:val="20"/>
          <w:szCs w:val="20"/>
        </w:rPr>
        <w:t>Supplement</w:t>
      </w:r>
    </w:p>
    <w:p w14:paraId="7F3494F0" w14:textId="77777777" w:rsidR="00CC2AB7" w:rsidRDefault="00CC2AB7" w:rsidP="00CC2AB7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F3494F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9DF83" w16cex:dateUtc="2025-03-17T01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F3494F0" w16cid:durableId="0709DF8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Yunfei Liao">
    <w15:presenceInfo w15:providerId="AD" w15:userId="S::yliao13@charlotte.edu::b452e1c8-96eb-4d4e-88b3-958e4c08708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5EB"/>
    <w:rsid w:val="000E15EB"/>
    <w:rsid w:val="000E5B62"/>
    <w:rsid w:val="00255415"/>
    <w:rsid w:val="005B0B0A"/>
    <w:rsid w:val="00716EA4"/>
    <w:rsid w:val="008F2417"/>
    <w:rsid w:val="0095229D"/>
    <w:rsid w:val="00B37248"/>
    <w:rsid w:val="00CC2AB7"/>
    <w:rsid w:val="00CE3586"/>
    <w:rsid w:val="00DF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F4738E"/>
  <w15:chartTrackingRefBased/>
  <w15:docId w15:val="{F04DBCF0-2D68-BA4E-BD88-BEC6B2FE9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5EB"/>
    <w:pPr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15E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15E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15E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5E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5E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5EB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5EB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5EB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5EB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15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15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15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5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5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5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5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5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5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15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E15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5E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E15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15EB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E15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15EB"/>
    <w:pPr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E15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5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5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15EB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CC2AB7"/>
    <w:rPr>
      <w:sz w:val="16"/>
      <w:szCs w:val="16"/>
    </w:rPr>
  </w:style>
  <w:style w:type="paragraph" w:styleId="Caption">
    <w:name w:val="caption"/>
    <w:basedOn w:val="Title"/>
    <w:next w:val="Normal"/>
    <w:uiPriority w:val="35"/>
    <w:unhideWhenUsed/>
    <w:qFormat/>
    <w:rsid w:val="00CC2AB7"/>
    <w:pPr>
      <w:spacing w:after="0"/>
    </w:pPr>
    <w:rPr>
      <w:rFonts w:ascii="Times New Roman" w:eastAsia="Times New Roman" w:hAnsi="Times New Roman" w:cs="Times New Roman"/>
      <w:b/>
      <w:iCs/>
      <w:color w:val="000000" w:themeColor="text1"/>
      <w:spacing w:val="0"/>
      <w:kern w:val="0"/>
      <w:sz w:val="20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18/08/relationships/commentsExtensible" Target="commentsExtensi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16/09/relationships/commentsIds" Target="commentsId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11/relationships/commentsExtended" Target="commentsExtended.xml"/><Relationship Id="rId5" Type="http://schemas.openxmlformats.org/officeDocument/2006/relationships/image" Target="media/image2.png"/><Relationship Id="rId15" Type="http://schemas.microsoft.com/office/2011/relationships/people" Target="people.xml"/><Relationship Id="rId10" Type="http://schemas.openxmlformats.org/officeDocument/2006/relationships/comments" Target="commen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151</Words>
  <Characters>922</Characters>
  <Application>Microsoft Office Word</Application>
  <DocSecurity>0</DocSecurity>
  <Lines>18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Yunfei Liao</dc:creator>
  <cp:keywords/>
  <dc:description/>
  <cp:lastModifiedBy>Eric Liao</cp:lastModifiedBy>
  <cp:revision>1</cp:revision>
  <dcterms:created xsi:type="dcterms:W3CDTF">2025-03-18T00:34:00Z</dcterms:created>
  <dcterms:modified xsi:type="dcterms:W3CDTF">2025-03-18T00:53:00Z</dcterms:modified>
</cp:coreProperties>
</file>