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DOCUMENTACIÓN BASE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IF NOT EXISTS  EOKIACAKE;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EOKIACAKE;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 IF NOT EXISTS  Cliente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identificacion varchar(15)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nombre varchar(40),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apellido varchar(40),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correo varchar(125),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telefono varchar(15),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password varchar(16),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direccion varchar(30)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 IF NOT EXISTS  Producto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 integer AUTO_INCREMENT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descripcion varchar(100),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precio_unitario double,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stock integer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IF NOT EXISTS Factura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 integer AUTO_INCREMENT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idCliente varchar(15),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decimal,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 KEY(idCliente) REFERENCES Cliente(identificacion)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IF NOT EXISTS DetalleFactura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 integer AUTO_INCREMENT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idProducto integer,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idFactura integer,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cantidad integer,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precio decimal,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FOREIGN KEY(idProducto) REFERENCES Producto(id),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FOREIGN KEY(idFactura) REFERENCES Factura(id)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