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Social Media and EPSS Analysis</w:t>
      </w:r>
    </w:p>
    <w:p>
      <w:pPr>
        <w:pStyle w:val="Heading1"/>
      </w:pPr>
      <w:r>
        <w:t>Executive Overview</w:t>
      </w:r>
    </w:p>
    <w:p>
      <w:r>
        <w:t>This report follows the original social-media records through the temporal EPSS study, comparison with similar CVEs, and final interpretation. Telegram posts were excluded because their recorded dates represent message-crafting dates rather than original publication dates. For each CVE, the earliest post captured in this dataset was used as the event date, and historical EPSS scores were examined before and after it. Similar comparison CVEs were selected using CVE year, CVSS severity and score, source, and starting EPSS percentile. Original post text was used only for basic quality checks and simple, explainable features, while LLM-generated summaries were evaluated separately and did not determine the primary temporal results.</w:t>
      </w:r>
    </w:p>
    <w:p>
      <w:r>
        <w:t>The main result is modest but useful. CVEs often moved upward in EPSS percentile during the first seven days after their first captured post. After comparison with similar CVEs, the average seven-day difference remained positive, although the median difference was close to zero. By day 30, the difference from similar CVEs was no longer convincing. This pattern is better understood as a short-term warning signal than as evidence that social media caused exploitation.</w:t>
      </w:r>
    </w:p>
    <w:p>
      <w:pPr>
        <w:pStyle w:val="Heading1"/>
      </w:pPr>
      <w:r>
        <w:t>1. Purpose and Key Terms</w:t>
      </w:r>
    </w:p>
    <w:p>
      <w:r>
        <w:t xml:space="preserve">The project asks whether social-media attention can add useful information about the future exploitation risk of software vulnerabilities. A vulnerability is identified by a </w:t>
      </w:r>
      <w:r>
        <w:rPr>
          <w:b/>
        </w:rPr>
        <w:t>CVE</w:t>
      </w:r>
      <w:r>
        <w:t xml:space="preserve">, which is a public identifier such as </w:t>
      </w:r>
      <w:r>
        <w:rPr>
          <w:rFonts w:ascii="Courier New" w:hAnsi="Courier New"/>
          <w:sz w:val="18"/>
        </w:rPr>
        <w:t>CVE-2025-3600</w:t>
      </w:r>
      <w:r>
        <w:t>.</w:t>
      </w:r>
    </w:p>
    <w:p>
      <w:r>
        <w:t>The following terms are used throughout the report:</w:t>
      </w:r>
    </w:p>
    <w:p>
      <w:pPr>
        <w:pStyle w:val="ListBullet"/>
        <w:spacing w:after="60"/>
      </w:pPr>
      <w:r>
        <w:rPr>
          <w:b/>
        </w:rPr>
        <w:t>EPSS</w:t>
      </w:r>
      <w:r>
        <w:t xml:space="preserve"> is the Exploit Prediction Scoring System. Its score ranges from 0 to 1 and estimates the probability of exploitation in the following 30 days.</w:t>
      </w:r>
    </w:p>
    <w:p>
      <w:pPr>
        <w:pStyle w:val="ListBullet"/>
        <w:spacing w:after="60"/>
      </w:pPr>
      <w:r>
        <w:rPr>
          <w:b/>
        </w:rPr>
        <w:t>CVSS</w:t>
      </w:r>
      <w:r>
        <w:t xml:space="preserve"> is the Common Vulnerability Scoring System. It measures technical severity, not the probability of real-world exploitation.</w:t>
      </w:r>
    </w:p>
    <w:p>
      <w:pPr>
        <w:pStyle w:val="ListBullet"/>
        <w:spacing w:after="60"/>
      </w:pPr>
      <w:r>
        <w:rPr>
          <w:b/>
        </w:rPr>
        <w:t>CISA KEV</w:t>
      </w:r>
      <w:r>
        <w:t xml:space="preserve"> is the Known Exploited Vulnerabilities catalog. A CVE in this catalog has evidence of exploitation in the wild.</w:t>
      </w:r>
    </w:p>
    <w:p>
      <w:pPr>
        <w:pStyle w:val="ListBullet"/>
        <w:spacing w:after="60"/>
      </w:pPr>
      <w:r>
        <w:rPr>
          <w:b/>
        </w:rPr>
        <w:t>Post-CVE row</w:t>
      </w:r>
      <w:r>
        <w:t xml:space="preserve"> is one connection between one collected post and one CVE. A post that mentions three CVEs can therefore create three rows, and one CVE mentioned in five posts can appear in five rows.</w:t>
      </w:r>
    </w:p>
    <w:p>
      <w:pPr>
        <w:pStyle w:val="ListBullet"/>
        <w:spacing w:after="60"/>
      </w:pPr>
      <w:r>
        <w:rPr>
          <w:b/>
        </w:rPr>
        <w:t>Event date (`t`)</w:t>
      </w:r>
      <w:r>
        <w:t xml:space="preserve"> is the earliest post date captured for a canonical CVE in this dataset.</w:t>
      </w:r>
    </w:p>
    <w:p>
      <w:pPr>
        <w:pStyle w:val="ListBullet"/>
        <w:spacing w:after="60"/>
      </w:pPr>
      <w:r>
        <w:rPr>
          <w:b/>
        </w:rPr>
        <w:t>Posted CVE</w:t>
      </w:r>
      <w:r>
        <w:t xml:space="preserve"> is the CVE whose first captured post defines the event being studied.</w:t>
      </w:r>
    </w:p>
    <w:p>
      <w:pPr>
        <w:pStyle w:val="ListBullet"/>
        <w:spacing w:after="60"/>
      </w:pPr>
      <w:r>
        <w:rPr>
          <w:b/>
        </w:rPr>
        <w:t>Comparison CVE</w:t>
      </w:r>
      <w:r>
        <w:t xml:space="preserve"> is a different, similar CVE used as a reference. Its own first captured post occurs after the posted CVE's 30-day study window. If the posted and comparison CVEs change similarly, their movement may reflect a wider trend rather than something unique to the captured post.</w:t>
      </w:r>
    </w:p>
    <w:p>
      <w:pPr>
        <w:pStyle w:val="ListBullet"/>
        <w:spacing w:after="60"/>
      </w:pPr>
      <w:r>
        <w:rPr>
          <w:b/>
        </w:rPr>
        <w:t>Similarity selection</w:t>
      </w:r>
      <w:r>
        <w:t xml:space="preserve"> means choosing comparison CVEs with close measured characteristics. This method is technically called matching, but the report uses the clearer term “comparison CVE.”</w:t>
      </w:r>
    </w:p>
    <w:p>
      <w:pPr>
        <w:pStyle w:val="ListBullet"/>
        <w:spacing w:after="60"/>
      </w:pPr>
      <w:r>
        <w:rPr>
          <w:b/>
        </w:rPr>
        <w:t>Event window</w:t>
      </w:r>
      <w:r>
        <w:t xml:space="preserve"> is the period examined around the post. For example, </w:t>
      </w:r>
      <w:r>
        <w:rPr>
          <w:rFonts w:ascii="Courier New" w:hAnsi="Courier New"/>
          <w:sz w:val="18"/>
        </w:rPr>
        <w:t>+/-7 days</w:t>
      </w:r>
      <w:r>
        <w:t xml:space="preserve"> means seven days before and seven days after it.</w:t>
      </w:r>
    </w:p>
    <w:p>
      <w:pPr>
        <w:pStyle w:val="ListBullet"/>
        <w:spacing w:after="60"/>
      </w:pPr>
      <w:r>
        <w:rPr>
          <w:b/>
        </w:rPr>
        <w:t>Required pre-history</w:t>
      </w:r>
      <w:r>
        <w:t xml:space="preserve"> means that EPSS data already existed far enough before the post to calculate the chosen before-and-after window.</w:t>
      </w:r>
    </w:p>
    <w:p>
      <w:pPr>
        <w:pStyle w:val="ListBullet"/>
        <w:spacing w:after="60"/>
      </w:pPr>
      <w:r>
        <w:rPr>
          <w:b/>
        </w:rPr>
        <w:t>CVE-specific text</w:t>
      </w:r>
      <w:r>
        <w:t xml:space="preserve"> means the exact post text was connected to only one CVE in this dataset. General articles or copied pages linked to several CVEs are not CVE-specific.</w:t>
      </w:r>
    </w:p>
    <w:p>
      <w:pPr>
        <w:pStyle w:val="ListBullet"/>
        <w:spacing w:after="60"/>
      </w:pPr>
      <w:r>
        <w:rPr>
          <w:b/>
        </w:rPr>
        <w:t>Baseline anchor</w:t>
      </w:r>
      <w:r>
        <w:t xml:space="preserve"> is the starting EPSS value. It uses the event day when available, otherwise the next available value at day 1 or day 3.</w:t>
      </w:r>
    </w:p>
    <w:p>
      <w:pPr>
        <w:pStyle w:val="ListBullet"/>
        <w:spacing w:after="60"/>
      </w:pPr>
      <w:r>
        <w:rPr>
          <w:b/>
        </w:rPr>
        <w:t>Horizon</w:t>
      </w:r>
      <w:r>
        <w:t xml:space="preserve"> is how many days after the event are checked, such as 7 or 30 days.</w:t>
      </w:r>
    </w:p>
    <w:p>
      <w:pPr>
        <w:pStyle w:val="ListBullet"/>
        <w:spacing w:after="60"/>
      </w:pPr>
      <w:r>
        <w:rPr>
          <w:b/>
        </w:rPr>
        <w:t>EPSS percentile</w:t>
      </w:r>
      <w:r>
        <w:t xml:space="preserve"> is the CVE's daily position compared with other scored CVEs. A percentile of 0.90 means it ranks above roughly 90% of them.</w:t>
      </w:r>
    </w:p>
    <w:p>
      <w:pPr>
        <w:pStyle w:val="ListBullet"/>
        <w:spacing w:after="60"/>
      </w:pPr>
      <w:r>
        <w:rPr>
          <w:b/>
        </w:rPr>
        <w:t>Mean</w:t>
      </w:r>
      <w:r>
        <w:t xml:space="preserve"> is the arithmetic average. </w:t>
      </w:r>
      <w:r>
        <w:rPr>
          <w:b/>
        </w:rPr>
        <w:t>Median</w:t>
      </w:r>
      <w:r>
        <w:t xml:space="preserve"> is the middle value and is less affected by unusually large changes.</w:t>
      </w:r>
    </w:p>
    <w:p>
      <w:pPr>
        <w:pStyle w:val="ListBullet"/>
        <w:spacing w:after="60"/>
      </w:pPr>
      <w:r>
        <w:rPr>
          <w:b/>
        </w:rPr>
        <w:t>p-value</w:t>
      </w:r>
      <w:r>
        <w:t xml:space="preserve"> shows how unusual the measured difference would be if there were really no consistent change. A small value supports evidence of a difference, but it does not prove that the post caused it.</w:t>
      </w:r>
    </w:p>
    <w:p>
      <w:pPr>
        <w:pStyle w:val="Heading1"/>
      </w:pPr>
      <w:r>
        <w:t>2. Dataset Structure</w:t>
      </w:r>
    </w:p>
    <w:p>
      <w:r>
        <w:t xml:space="preserve">The three input files are </w:t>
      </w:r>
      <w:r>
        <w:rPr>
          <w:rFonts w:ascii="Courier New" w:hAnsi="Courier New"/>
          <w:sz w:val="18"/>
        </w:rPr>
        <w:t>gemma_combined_summ.csv</w:t>
      </w:r>
      <w:r>
        <w:t xml:space="preserve">, </w:t>
      </w:r>
      <w:r>
        <w:rPr>
          <w:rFonts w:ascii="Courier New" w:hAnsi="Courier New"/>
          <w:sz w:val="18"/>
        </w:rPr>
        <w:t>gpt_combined_summ.csv</w:t>
      </w:r>
      <w:r>
        <w:t xml:space="preserve">, and </w:t>
      </w:r>
      <w:r>
        <w:rPr>
          <w:rFonts w:ascii="Courier New" w:hAnsi="Courier New"/>
          <w:sz w:val="18"/>
        </w:rPr>
        <w:t>mistral_combined_summ.csv</w:t>
      </w:r>
      <w:r>
        <w:t>. They contain the same post and vulnerability records, but each file contains summaries generated by a different LLM.</w:t>
      </w:r>
    </w:p>
    <w:tbl>
      <w:tblPr>
        <w:tblStyle w:val="TableGrid"/>
        <w:tblW w:type="auto" w:w="0"/>
        <w:tblLayout w:type="autofit"/>
        <w:tblLook w:firstColumn="1" w:firstRow="1" w:lastColumn="0" w:lastRow="0" w:noHBand="0" w:noVBand="1" w:val="04A0"/>
      </w:tblPr>
      <w:tblGrid>
        <w:gridCol w:w="4933"/>
        <w:gridCol w:w="4933"/>
      </w:tblGrid>
      <w:tr>
        <w:trPr>
          <w:tblHeader w:val="true"/>
          <w:cantSplit w:val="true"/>
        </w:trPr>
        <w:tc>
          <w:tcPr>
            <w:tcW w:type="dxa" w:w="4933"/>
            <w:vAlign w:val="center"/>
            <w:shd w:fill="D9E6F5"/>
          </w:tcPr>
          <w:p>
            <w:pPr>
              <w:spacing w:after="0"/>
            </w:pPr>
            <w:r/>
            <w:r>
              <w:rPr>
                <w:rFonts w:ascii="Arial" w:hAnsi="Arial"/>
                <w:b/>
                <w:sz w:val="17"/>
              </w:rPr>
              <w:t>Item</w:t>
            </w:r>
          </w:p>
        </w:tc>
        <w:tc>
          <w:tcPr>
            <w:tcW w:type="dxa" w:w="4933"/>
            <w:vAlign w:val="center"/>
            <w:shd w:fill="D9E6F5"/>
          </w:tcPr>
          <w:p>
            <w:pPr>
              <w:spacing w:after="0"/>
            </w:pPr>
            <w:r/>
            <w:r>
              <w:rPr>
                <w:rFonts w:ascii="Arial" w:hAnsi="Arial"/>
                <w:b/>
                <w:sz w:val="17"/>
              </w:rPr>
              <w:t>Verified value</w:t>
            </w:r>
          </w:p>
        </w:tc>
      </w:tr>
      <w:tr>
        <w:trPr>
          <w:cantSplit w:val="true"/>
        </w:trPr>
        <w:tc>
          <w:tcPr>
            <w:tcW w:type="dxa" w:w="4933"/>
            <w:vAlign w:val="center"/>
          </w:tcPr>
          <w:p>
            <w:pPr>
              <w:spacing w:after="0"/>
            </w:pPr>
            <w:r/>
            <w:r>
              <w:rPr>
                <w:rFonts w:ascii="Arial" w:hAnsi="Arial"/>
                <w:b w:val="0"/>
                <w:sz w:val="17"/>
              </w:rPr>
              <w:t>Rows in each original model file</w:t>
            </w:r>
          </w:p>
        </w:tc>
        <w:tc>
          <w:tcPr>
            <w:tcW w:type="dxa" w:w="4933"/>
            <w:vAlign w:val="center"/>
          </w:tcPr>
          <w:p>
            <w:pPr>
              <w:spacing w:after="0"/>
            </w:pPr>
            <w:r/>
            <w:r>
              <w:rPr>
                <w:rFonts w:ascii="Arial" w:hAnsi="Arial"/>
                <w:b w:val="0"/>
                <w:sz w:val="17"/>
              </w:rPr>
              <w:t>9,218</w:t>
            </w:r>
          </w:p>
        </w:tc>
      </w:tr>
      <w:tr>
        <w:trPr>
          <w:cantSplit w:val="true"/>
        </w:trPr>
        <w:tc>
          <w:tcPr>
            <w:tcW w:type="dxa" w:w="4933"/>
            <w:vAlign w:val="center"/>
          </w:tcPr>
          <w:p>
            <w:pPr>
              <w:spacing w:after="0"/>
            </w:pPr>
            <w:r/>
            <w:r>
              <w:rPr>
                <w:rFonts w:ascii="Arial" w:hAnsi="Arial"/>
                <w:b w:val="0"/>
                <w:sz w:val="17"/>
              </w:rPr>
              <w:t>Columns in each file</w:t>
            </w:r>
          </w:p>
        </w:tc>
        <w:tc>
          <w:tcPr>
            <w:tcW w:type="dxa" w:w="4933"/>
            <w:vAlign w:val="center"/>
          </w:tcPr>
          <w:p>
            <w:pPr>
              <w:spacing w:after="0"/>
            </w:pPr>
            <w:r/>
            <w:r>
              <w:rPr>
                <w:rFonts w:ascii="Arial" w:hAnsi="Arial"/>
                <w:b w:val="0"/>
                <w:sz w:val="17"/>
              </w:rPr>
              <w:t>28</w:t>
            </w:r>
          </w:p>
        </w:tc>
      </w:tr>
      <w:tr>
        <w:trPr>
          <w:cantSplit w:val="true"/>
        </w:trPr>
        <w:tc>
          <w:tcPr>
            <w:tcW w:type="dxa" w:w="4933"/>
            <w:vAlign w:val="center"/>
          </w:tcPr>
          <w:p>
            <w:pPr>
              <w:spacing w:after="0"/>
            </w:pPr>
            <w:r/>
            <w:r>
              <w:rPr>
                <w:rFonts w:ascii="Arial" w:hAnsi="Arial"/>
                <w:b w:val="0"/>
                <w:sz w:val="17"/>
              </w:rPr>
              <w:t>Canonical CVEs in the original files</w:t>
            </w:r>
          </w:p>
        </w:tc>
        <w:tc>
          <w:tcPr>
            <w:tcW w:type="dxa" w:w="4933"/>
            <w:vAlign w:val="center"/>
          </w:tcPr>
          <w:p>
            <w:pPr>
              <w:spacing w:after="0"/>
            </w:pPr>
            <w:r/>
            <w:r>
              <w:rPr>
                <w:rFonts w:ascii="Arial" w:hAnsi="Arial"/>
                <w:b w:val="0"/>
                <w:sz w:val="17"/>
              </w:rPr>
              <w:t>5,692</w:t>
            </w:r>
          </w:p>
        </w:tc>
      </w:tr>
      <w:tr>
        <w:trPr>
          <w:cantSplit w:val="true"/>
        </w:trPr>
        <w:tc>
          <w:tcPr>
            <w:tcW w:type="dxa" w:w="4933"/>
            <w:vAlign w:val="center"/>
          </w:tcPr>
          <w:p>
            <w:pPr>
              <w:spacing w:after="0"/>
            </w:pPr>
            <w:r/>
            <w:r>
              <w:rPr>
                <w:rFonts w:ascii="Arial" w:hAnsi="Arial"/>
                <w:b w:val="0"/>
                <w:sz w:val="17"/>
              </w:rPr>
              <w:t>Rows used in this analysis</w:t>
            </w:r>
          </w:p>
        </w:tc>
        <w:tc>
          <w:tcPr>
            <w:tcW w:type="dxa" w:w="4933"/>
            <w:vAlign w:val="center"/>
          </w:tcPr>
          <w:p>
            <w:pPr>
              <w:spacing w:after="0"/>
            </w:pPr>
            <w:r/>
            <w:r>
              <w:rPr>
                <w:rFonts w:ascii="Arial" w:hAnsi="Arial"/>
                <w:b w:val="0"/>
                <w:sz w:val="17"/>
              </w:rPr>
              <w:t>6,628</w:t>
            </w:r>
          </w:p>
        </w:tc>
      </w:tr>
      <w:tr>
        <w:trPr>
          <w:cantSplit w:val="true"/>
        </w:trPr>
        <w:tc>
          <w:tcPr>
            <w:tcW w:type="dxa" w:w="4933"/>
            <w:vAlign w:val="center"/>
          </w:tcPr>
          <w:p>
            <w:pPr>
              <w:spacing w:after="0"/>
            </w:pPr>
            <w:r/>
            <w:r>
              <w:rPr>
                <w:rFonts w:ascii="Arial" w:hAnsi="Arial"/>
                <w:b w:val="0"/>
                <w:sz w:val="17"/>
              </w:rPr>
              <w:t>Canonical CVEs used in this analysis</w:t>
            </w:r>
          </w:p>
        </w:tc>
        <w:tc>
          <w:tcPr>
            <w:tcW w:type="dxa" w:w="4933"/>
            <w:vAlign w:val="center"/>
          </w:tcPr>
          <w:p>
            <w:pPr>
              <w:spacing w:after="0"/>
            </w:pPr>
            <w:r/>
            <w:r>
              <w:rPr>
                <w:rFonts w:ascii="Arial" w:hAnsi="Arial"/>
                <w:b w:val="0"/>
                <w:sz w:val="17"/>
              </w:rPr>
              <w:t>4,187</w:t>
            </w:r>
          </w:p>
        </w:tc>
      </w:tr>
      <w:tr>
        <w:trPr>
          <w:cantSplit w:val="true"/>
        </w:trPr>
        <w:tc>
          <w:tcPr>
            <w:tcW w:type="dxa" w:w="4933"/>
            <w:vAlign w:val="center"/>
          </w:tcPr>
          <w:p>
            <w:pPr>
              <w:spacing w:after="0"/>
            </w:pPr>
            <w:r/>
            <w:r>
              <w:rPr>
                <w:rFonts w:ascii="Arial" w:hAnsi="Arial"/>
                <w:b w:val="0"/>
                <w:sz w:val="17"/>
              </w:rPr>
              <w:t>First-post events</w:t>
            </w:r>
          </w:p>
        </w:tc>
        <w:tc>
          <w:tcPr>
            <w:tcW w:type="dxa" w:w="4933"/>
            <w:vAlign w:val="center"/>
          </w:tcPr>
          <w:p>
            <w:pPr>
              <w:spacing w:after="0"/>
            </w:pPr>
            <w:r/>
            <w:r>
              <w:rPr>
                <w:rFonts w:ascii="Arial" w:hAnsi="Arial"/>
                <w:b w:val="0"/>
                <w:sz w:val="17"/>
              </w:rPr>
              <w:t>4,187</w:t>
            </w:r>
          </w:p>
        </w:tc>
      </w:tr>
    </w:tbl>
    <w:p>
      <w:pPr>
        <w:spacing w:after="40"/>
      </w:pPr>
    </w:p>
    <w:p>
      <w:r>
        <w:t>“Rows” are post-CVE links, so the same CVE can appear in more than one row. “Canonical CVEs” are unique vulnerability identifiers after removing the row suffix. “First-post events” retain the earliest captured date for each canonical CVE.</w:t>
      </w:r>
    </w:p>
    <w:tbl>
      <w:tblPr>
        <w:tblStyle w:val="TableGrid"/>
        <w:tblW w:type="auto" w:w="0"/>
        <w:tblLayout w:type="autofit"/>
        <w:tblLook w:firstColumn="1" w:firstRow="1" w:lastColumn="0" w:lastRow="0" w:noHBand="0" w:noVBand="1" w:val="04A0"/>
      </w:tblPr>
      <w:tblGrid>
        <w:gridCol w:w="1409"/>
        <w:gridCol w:w="1409"/>
        <w:gridCol w:w="1409"/>
        <w:gridCol w:w="1409"/>
        <w:gridCol w:w="1409"/>
        <w:gridCol w:w="1409"/>
        <w:gridCol w:w="1409"/>
      </w:tblGrid>
      <w:tr>
        <w:trPr>
          <w:tblHeader w:val="true"/>
          <w:cantSplit w:val="true"/>
        </w:trPr>
        <w:tc>
          <w:tcPr>
            <w:tcW w:type="dxa" w:w="1409"/>
            <w:vAlign w:val="center"/>
            <w:shd w:fill="D9E6F5"/>
          </w:tcPr>
          <w:p>
            <w:pPr>
              <w:spacing w:after="0"/>
            </w:pPr>
            <w:r/>
            <w:r>
              <w:rPr>
                <w:rFonts w:ascii="Arial" w:hAnsi="Arial"/>
                <w:b/>
                <w:sz w:val="14"/>
              </w:rPr>
              <w:t>Model file</w:t>
            </w:r>
          </w:p>
        </w:tc>
        <w:tc>
          <w:tcPr>
            <w:tcW w:type="dxa" w:w="1409"/>
            <w:vAlign w:val="center"/>
            <w:shd w:fill="D9E6F5"/>
          </w:tcPr>
          <w:p>
            <w:pPr>
              <w:spacing w:after="0"/>
            </w:pPr>
            <w:r/>
            <w:r>
              <w:rPr>
                <w:rFonts w:ascii="Arial" w:hAnsi="Arial"/>
                <w:b/>
                <w:sz w:val="14"/>
              </w:rPr>
              <w:t>Parsed rows</w:t>
            </w:r>
          </w:p>
        </w:tc>
        <w:tc>
          <w:tcPr>
            <w:tcW w:type="dxa" w:w="1409"/>
            <w:vAlign w:val="center"/>
            <w:shd w:fill="D9E6F5"/>
          </w:tcPr>
          <w:p>
            <w:pPr>
              <w:spacing w:after="0"/>
            </w:pPr>
            <w:r/>
            <w:r>
              <w:rPr>
                <w:rFonts w:ascii="Arial" w:hAnsi="Arial"/>
                <w:b/>
                <w:sz w:val="14"/>
              </w:rPr>
              <w:t>Independent CSV rows</w:t>
            </w:r>
          </w:p>
        </w:tc>
        <w:tc>
          <w:tcPr>
            <w:tcW w:type="dxa" w:w="1409"/>
            <w:vAlign w:val="center"/>
            <w:shd w:fill="D9E6F5"/>
          </w:tcPr>
          <w:p>
            <w:pPr>
              <w:spacing w:after="0"/>
            </w:pPr>
            <w:r/>
            <w:r>
              <w:rPr>
                <w:rFonts w:ascii="Arial" w:hAnsi="Arial"/>
                <w:b/>
                <w:sz w:val="14"/>
              </w:rPr>
              <w:t>Columns</w:t>
            </w:r>
          </w:p>
        </w:tc>
        <w:tc>
          <w:tcPr>
            <w:tcW w:type="dxa" w:w="1409"/>
            <w:vAlign w:val="center"/>
            <w:shd w:fill="D9E6F5"/>
          </w:tcPr>
          <w:p>
            <w:pPr>
              <w:spacing w:after="0"/>
            </w:pPr>
            <w:r/>
            <w:r>
              <w:rPr>
                <w:rFonts w:ascii="Arial" w:hAnsi="Arial"/>
                <w:b/>
                <w:sz w:val="14"/>
              </w:rPr>
              <w:t>Complete columns</w:t>
            </w:r>
          </w:p>
        </w:tc>
        <w:tc>
          <w:tcPr>
            <w:tcW w:type="dxa" w:w="1409"/>
            <w:vAlign w:val="center"/>
            <w:shd w:fill="D9E6F5"/>
          </w:tcPr>
          <w:p>
            <w:pPr>
              <w:spacing w:after="0"/>
            </w:pPr>
            <w:r/>
            <w:r>
              <w:rPr>
                <w:rFonts w:ascii="Arial" w:hAnsi="Arial"/>
                <w:b/>
                <w:sz w:val="14"/>
              </w:rPr>
              <w:t>Columns with missing values</w:t>
            </w:r>
          </w:p>
        </w:tc>
        <w:tc>
          <w:tcPr>
            <w:tcW w:type="dxa" w:w="1409"/>
            <w:vAlign w:val="center"/>
            <w:shd w:fill="D9E6F5"/>
          </w:tcPr>
          <w:p>
            <w:pPr>
              <w:spacing w:after="0"/>
            </w:pPr>
            <w:r/>
            <w:r>
              <w:rPr>
                <w:rFonts w:ascii="Arial" w:hAnsi="Arial"/>
                <w:b/>
                <w:sz w:val="14"/>
              </w:rPr>
              <w:t>Ragged rows</w:t>
            </w:r>
          </w:p>
        </w:tc>
      </w:tr>
      <w:tr>
        <w:trPr>
          <w:cantSplit w:val="true"/>
        </w:trPr>
        <w:tc>
          <w:tcPr>
            <w:tcW w:type="dxa" w:w="1409"/>
            <w:vAlign w:val="center"/>
          </w:tcPr>
          <w:p>
            <w:pPr>
              <w:spacing w:after="0"/>
            </w:pPr>
            <w:r/>
            <w:r>
              <w:rPr>
                <w:rFonts w:ascii="Arial" w:hAnsi="Arial"/>
                <w:b w:val="0"/>
                <w:sz w:val="14"/>
              </w:rPr>
              <w:t>gemma_combined_summ.csv</w:t>
            </w:r>
          </w:p>
        </w:tc>
        <w:tc>
          <w:tcPr>
            <w:tcW w:type="dxa" w:w="1409"/>
            <w:vAlign w:val="center"/>
          </w:tcPr>
          <w:p>
            <w:pPr>
              <w:spacing w:after="0"/>
            </w:pPr>
            <w:r/>
            <w:r>
              <w:rPr>
                <w:rFonts w:ascii="Arial" w:hAnsi="Arial"/>
                <w:b w:val="0"/>
                <w:sz w:val="14"/>
              </w:rPr>
              <w:t>9218</w:t>
            </w:r>
          </w:p>
        </w:tc>
        <w:tc>
          <w:tcPr>
            <w:tcW w:type="dxa" w:w="1409"/>
            <w:vAlign w:val="center"/>
          </w:tcPr>
          <w:p>
            <w:pPr>
              <w:spacing w:after="0"/>
            </w:pPr>
            <w:r/>
            <w:r>
              <w:rPr>
                <w:rFonts w:ascii="Arial" w:hAnsi="Arial"/>
                <w:b w:val="0"/>
                <w:sz w:val="14"/>
              </w:rPr>
              <w:t>9218</w:t>
            </w:r>
          </w:p>
        </w:tc>
        <w:tc>
          <w:tcPr>
            <w:tcW w:type="dxa" w:w="1409"/>
            <w:vAlign w:val="center"/>
          </w:tcPr>
          <w:p>
            <w:pPr>
              <w:spacing w:after="0"/>
            </w:pPr>
            <w:r/>
            <w:r>
              <w:rPr>
                <w:rFonts w:ascii="Arial" w:hAnsi="Arial"/>
                <w:b w:val="0"/>
                <w:sz w:val="14"/>
              </w:rPr>
              <w:t>28</w:t>
            </w:r>
          </w:p>
        </w:tc>
        <w:tc>
          <w:tcPr>
            <w:tcW w:type="dxa" w:w="1409"/>
            <w:vAlign w:val="center"/>
          </w:tcPr>
          <w:p>
            <w:pPr>
              <w:spacing w:after="0"/>
            </w:pPr>
            <w:r/>
            <w:r>
              <w:rPr>
                <w:rFonts w:ascii="Arial" w:hAnsi="Arial"/>
                <w:b w:val="0"/>
                <w:sz w:val="14"/>
              </w:rPr>
              <w:t>21</w:t>
            </w:r>
          </w:p>
        </w:tc>
        <w:tc>
          <w:tcPr>
            <w:tcW w:type="dxa" w:w="1409"/>
            <w:vAlign w:val="center"/>
          </w:tcPr>
          <w:p>
            <w:pPr>
              <w:spacing w:after="0"/>
            </w:pPr>
            <w:r/>
            <w:r>
              <w:rPr>
                <w:rFonts w:ascii="Arial" w:hAnsi="Arial"/>
                <w:b w:val="0"/>
                <w:sz w:val="14"/>
              </w:rPr>
              <w:t>7</w:t>
            </w:r>
          </w:p>
        </w:tc>
        <w:tc>
          <w:tcPr>
            <w:tcW w:type="dxa" w:w="1409"/>
            <w:vAlign w:val="center"/>
          </w:tcPr>
          <w:p>
            <w:pPr>
              <w:spacing w:after="0"/>
            </w:pPr>
            <w:r/>
            <w:r>
              <w:rPr>
                <w:rFonts w:ascii="Arial" w:hAnsi="Arial"/>
                <w:b w:val="0"/>
                <w:sz w:val="14"/>
              </w:rPr>
              <w:t>0</w:t>
            </w:r>
          </w:p>
        </w:tc>
      </w:tr>
      <w:tr>
        <w:trPr>
          <w:cantSplit w:val="true"/>
        </w:trPr>
        <w:tc>
          <w:tcPr>
            <w:tcW w:type="dxa" w:w="1409"/>
            <w:vAlign w:val="center"/>
          </w:tcPr>
          <w:p>
            <w:pPr>
              <w:spacing w:after="0"/>
            </w:pPr>
            <w:r/>
            <w:r>
              <w:rPr>
                <w:rFonts w:ascii="Arial" w:hAnsi="Arial"/>
                <w:b w:val="0"/>
                <w:sz w:val="14"/>
              </w:rPr>
              <w:t>gpt_combined_summ.csv</w:t>
            </w:r>
          </w:p>
        </w:tc>
        <w:tc>
          <w:tcPr>
            <w:tcW w:type="dxa" w:w="1409"/>
            <w:vAlign w:val="center"/>
          </w:tcPr>
          <w:p>
            <w:pPr>
              <w:spacing w:after="0"/>
            </w:pPr>
            <w:r/>
            <w:r>
              <w:rPr>
                <w:rFonts w:ascii="Arial" w:hAnsi="Arial"/>
                <w:b w:val="0"/>
                <w:sz w:val="14"/>
              </w:rPr>
              <w:t>9218</w:t>
            </w:r>
          </w:p>
        </w:tc>
        <w:tc>
          <w:tcPr>
            <w:tcW w:type="dxa" w:w="1409"/>
            <w:vAlign w:val="center"/>
          </w:tcPr>
          <w:p>
            <w:pPr>
              <w:spacing w:after="0"/>
            </w:pPr>
            <w:r/>
            <w:r>
              <w:rPr>
                <w:rFonts w:ascii="Arial" w:hAnsi="Arial"/>
                <w:b w:val="0"/>
                <w:sz w:val="14"/>
              </w:rPr>
              <w:t>9218</w:t>
            </w:r>
          </w:p>
        </w:tc>
        <w:tc>
          <w:tcPr>
            <w:tcW w:type="dxa" w:w="1409"/>
            <w:vAlign w:val="center"/>
          </w:tcPr>
          <w:p>
            <w:pPr>
              <w:spacing w:after="0"/>
            </w:pPr>
            <w:r/>
            <w:r>
              <w:rPr>
                <w:rFonts w:ascii="Arial" w:hAnsi="Arial"/>
                <w:b w:val="0"/>
                <w:sz w:val="14"/>
              </w:rPr>
              <w:t>28</w:t>
            </w:r>
          </w:p>
        </w:tc>
        <w:tc>
          <w:tcPr>
            <w:tcW w:type="dxa" w:w="1409"/>
            <w:vAlign w:val="center"/>
          </w:tcPr>
          <w:p>
            <w:pPr>
              <w:spacing w:after="0"/>
            </w:pPr>
            <w:r/>
            <w:r>
              <w:rPr>
                <w:rFonts w:ascii="Arial" w:hAnsi="Arial"/>
                <w:b w:val="0"/>
                <w:sz w:val="14"/>
              </w:rPr>
              <w:t>21</w:t>
            </w:r>
          </w:p>
        </w:tc>
        <w:tc>
          <w:tcPr>
            <w:tcW w:type="dxa" w:w="1409"/>
            <w:vAlign w:val="center"/>
          </w:tcPr>
          <w:p>
            <w:pPr>
              <w:spacing w:after="0"/>
            </w:pPr>
            <w:r/>
            <w:r>
              <w:rPr>
                <w:rFonts w:ascii="Arial" w:hAnsi="Arial"/>
                <w:b w:val="0"/>
                <w:sz w:val="14"/>
              </w:rPr>
              <w:t>7</w:t>
            </w:r>
          </w:p>
        </w:tc>
        <w:tc>
          <w:tcPr>
            <w:tcW w:type="dxa" w:w="1409"/>
            <w:vAlign w:val="center"/>
          </w:tcPr>
          <w:p>
            <w:pPr>
              <w:spacing w:after="0"/>
            </w:pPr>
            <w:r/>
            <w:r>
              <w:rPr>
                <w:rFonts w:ascii="Arial" w:hAnsi="Arial"/>
                <w:b w:val="0"/>
                <w:sz w:val="14"/>
              </w:rPr>
              <w:t>0</w:t>
            </w:r>
          </w:p>
        </w:tc>
      </w:tr>
      <w:tr>
        <w:trPr>
          <w:cantSplit w:val="true"/>
        </w:trPr>
        <w:tc>
          <w:tcPr>
            <w:tcW w:type="dxa" w:w="1409"/>
            <w:vAlign w:val="center"/>
          </w:tcPr>
          <w:p>
            <w:pPr>
              <w:spacing w:after="0"/>
            </w:pPr>
            <w:r/>
            <w:r>
              <w:rPr>
                <w:rFonts w:ascii="Arial" w:hAnsi="Arial"/>
                <w:b w:val="0"/>
                <w:sz w:val="14"/>
              </w:rPr>
              <w:t>mistral_combined_summ.csv</w:t>
            </w:r>
          </w:p>
        </w:tc>
        <w:tc>
          <w:tcPr>
            <w:tcW w:type="dxa" w:w="1409"/>
            <w:vAlign w:val="center"/>
          </w:tcPr>
          <w:p>
            <w:pPr>
              <w:spacing w:after="0"/>
            </w:pPr>
            <w:r/>
            <w:r>
              <w:rPr>
                <w:rFonts w:ascii="Arial" w:hAnsi="Arial"/>
                <w:b w:val="0"/>
                <w:sz w:val="14"/>
              </w:rPr>
              <w:t>9218</w:t>
            </w:r>
          </w:p>
        </w:tc>
        <w:tc>
          <w:tcPr>
            <w:tcW w:type="dxa" w:w="1409"/>
            <w:vAlign w:val="center"/>
          </w:tcPr>
          <w:p>
            <w:pPr>
              <w:spacing w:after="0"/>
            </w:pPr>
            <w:r/>
            <w:r>
              <w:rPr>
                <w:rFonts w:ascii="Arial" w:hAnsi="Arial"/>
                <w:b w:val="0"/>
                <w:sz w:val="14"/>
              </w:rPr>
              <w:t>9218</w:t>
            </w:r>
          </w:p>
        </w:tc>
        <w:tc>
          <w:tcPr>
            <w:tcW w:type="dxa" w:w="1409"/>
            <w:vAlign w:val="center"/>
          </w:tcPr>
          <w:p>
            <w:pPr>
              <w:spacing w:after="0"/>
            </w:pPr>
            <w:r/>
            <w:r>
              <w:rPr>
                <w:rFonts w:ascii="Arial" w:hAnsi="Arial"/>
                <w:b w:val="0"/>
                <w:sz w:val="14"/>
              </w:rPr>
              <w:t>28</w:t>
            </w:r>
          </w:p>
        </w:tc>
        <w:tc>
          <w:tcPr>
            <w:tcW w:type="dxa" w:w="1409"/>
            <w:vAlign w:val="center"/>
          </w:tcPr>
          <w:p>
            <w:pPr>
              <w:spacing w:after="0"/>
            </w:pPr>
            <w:r/>
            <w:r>
              <w:rPr>
                <w:rFonts w:ascii="Arial" w:hAnsi="Arial"/>
                <w:b w:val="0"/>
                <w:sz w:val="14"/>
              </w:rPr>
              <w:t>20</w:t>
            </w:r>
          </w:p>
        </w:tc>
        <w:tc>
          <w:tcPr>
            <w:tcW w:type="dxa" w:w="1409"/>
            <w:vAlign w:val="center"/>
          </w:tcPr>
          <w:p>
            <w:pPr>
              <w:spacing w:after="0"/>
            </w:pPr>
            <w:r/>
            <w:r>
              <w:rPr>
                <w:rFonts w:ascii="Arial" w:hAnsi="Arial"/>
                <w:b w:val="0"/>
                <w:sz w:val="14"/>
              </w:rPr>
              <w:t>8</w:t>
            </w:r>
          </w:p>
        </w:tc>
        <w:tc>
          <w:tcPr>
            <w:tcW w:type="dxa" w:w="1409"/>
            <w:vAlign w:val="center"/>
          </w:tcPr>
          <w:p>
            <w:pPr>
              <w:spacing w:after="0"/>
            </w:pPr>
            <w:r/>
            <w:r>
              <w:rPr>
                <w:rFonts w:ascii="Arial" w:hAnsi="Arial"/>
                <w:b w:val="0"/>
                <w:sz w:val="14"/>
              </w:rPr>
              <w:t>0</w:t>
            </w:r>
          </w:p>
        </w:tc>
      </w:tr>
    </w:tbl>
    <w:p>
      <w:pPr>
        <w:spacing w:after="40"/>
      </w:pPr>
    </w:p>
    <w:p>
      <w:pPr>
        <w:spacing w:after="180"/>
      </w:pPr>
      <w:r>
        <w:rPr>
          <w:b/>
        </w:rPr>
        <w:t>Table notes:</w:t>
      </w:r>
      <w:r>
        <w:t xml:space="preserve"> The same files were counted in two independent ways. Both methods found 9,218 rows and 28 columns in every file. “Complete columns” have a value in every row. “Columns with missing values” counts the fields that contain at least one blank. A “ragged row” would contain too many or too few columns; no such rows were found.</w:t>
      </w:r>
    </w:p>
    <w:p>
      <w:pPr>
        <w:pStyle w:val="Heading1"/>
      </w:pPr>
      <w:r>
        <w:t>3. Online Data Sources and Analysis Tools</w:t>
      </w:r>
    </w:p>
    <w:p>
      <w:r>
        <w:t>Historical scores were not inferred from the social-media files. They were retrieved from public vulnerability-data services:</w:t>
      </w:r>
    </w:p>
    <w:p>
      <w:pPr>
        <w:pStyle w:val="ListBullet"/>
        <w:spacing w:after="60"/>
      </w:pPr>
      <w:r>
        <w:rPr>
          <w:b/>
        </w:rPr>
        <w:t>FIRST EPSS API:</w:t>
      </w:r>
      <w:r>
        <w:t xml:space="preserve"> https://api.first.org/data/v1/epss. The API was queried by CVE and historical date to obtain the EPSS score and same-day percentile.</w:t>
      </w:r>
    </w:p>
    <w:p>
      <w:pPr>
        <w:pStyle w:val="ListBullet"/>
        <w:spacing w:after="60"/>
      </w:pPr>
      <w:r>
        <w:rPr>
          <w:b/>
        </w:rPr>
        <w:t>FIRST EPSS data documentation:</w:t>
      </w:r>
      <w:r>
        <w:t xml:space="preserve"> https://www.first.org/epss/data.html. This was used to confirm daily publication, historical availability, and EPSS model-version changes.</w:t>
      </w:r>
    </w:p>
    <w:p>
      <w:pPr>
        <w:pStyle w:val="ListBullet"/>
        <w:spacing w:after="60"/>
      </w:pPr>
      <w:r>
        <w:rPr>
          <w:b/>
        </w:rPr>
        <w:t>Historical daily EPSS archive:</w:t>
      </w:r>
      <w:r>
        <w:t xml:space="preserve"> </w:t>
      </w:r>
      <w:r>
        <w:rPr>
          <w:rFonts w:ascii="Courier New" w:hAnsi="Courier New"/>
          <w:sz w:val="18"/>
        </w:rPr>
        <w:t>https://epss.empiricalsecurity.com/epss_scores-YYYY-MM-DD.csv.gz</w:t>
      </w:r>
      <w:r>
        <w:t>. Daily snapshots were used in the feasibility audit and to check historical coverage.</w:t>
      </w:r>
    </w:p>
    <w:p>
      <w:pPr>
        <w:pStyle w:val="ListBullet"/>
        <w:spacing w:after="60"/>
      </w:pPr>
      <w:r>
        <w:rPr>
          <w:b/>
        </w:rPr>
        <w:t>CISA KEV catalog:</w:t>
      </w:r>
      <w:r>
        <w:t xml:space="preserve"> https://www.cisa.gov/known-exploited-vulnerabilities-catalog, using CISA's public JSON feed. This supplied the external known-exploitation label and catalog-addition date.</w:t>
      </w:r>
    </w:p>
    <w:p>
      <w:r>
        <w:t xml:space="preserve">The local analysis used Python with </w:t>
      </w:r>
      <w:r>
        <w:rPr>
          <w:b/>
        </w:rPr>
        <w:t>pandas</w:t>
      </w:r>
      <w:r>
        <w:t xml:space="preserve"> for data preparation, </w:t>
      </w:r>
      <w:r>
        <w:rPr>
          <w:b/>
        </w:rPr>
        <w:t>SciPy</w:t>
      </w:r>
      <w:r>
        <w:t xml:space="preserve"> for statistical tests, </w:t>
      </w:r>
      <w:r>
        <w:rPr>
          <w:b/>
        </w:rPr>
        <w:t>scikit-learn</w:t>
      </w:r>
      <w:r>
        <w:t xml:space="preserve"> for predictive models and cross-validation, </w:t>
      </w:r>
      <w:r>
        <w:rPr>
          <w:b/>
        </w:rPr>
        <w:t>Matplotlib</w:t>
      </w:r>
      <w:r>
        <w:t xml:space="preserve"> for figures, and </w:t>
      </w:r>
      <w:r>
        <w:rPr>
          <w:b/>
        </w:rPr>
        <w:t>ReportLab</w:t>
      </w:r>
      <w:r>
        <w:t xml:space="preserve"> for this PDF. Cached copies of downloaded EPSS and KEV data were retained so the results could be reproduced without changing values during report generation.</w:t>
      </w:r>
    </w:p>
    <w:p>
      <w:r>
        <w:t xml:space="preserve">FIRST supplied historical EPSS scores for CVEs and dates. It did </w:t>
      </w:r>
      <w:r>
        <w:rPr>
          <w:b/>
        </w:rPr>
        <w:t>not</w:t>
      </w:r>
      <w:r>
        <w:t xml:space="preserve"> supply the identities of the comparison CVEs. Both the posted CVEs and comparison CVEs came from the social-media dataset; the local selection algorithm decided which CVEs were similar enough to compare.</w:t>
      </w:r>
    </w:p>
    <w:p>
      <w:pPr>
        <w:pStyle w:val="Heading1"/>
      </w:pPr>
      <w:r>
        <w:t>4. Important Dataset Attributes</w:t>
      </w:r>
    </w:p>
    <w:tbl>
      <w:tblPr>
        <w:tblStyle w:val="TableGrid"/>
        <w:tblW w:type="auto" w:w="0"/>
        <w:tblLayout w:type="autofit"/>
        <w:tblLook w:firstColumn="1" w:firstRow="1" w:lastColumn="0" w:lastRow="0" w:noHBand="0" w:noVBand="1" w:val="04A0"/>
      </w:tblPr>
      <w:tblGrid>
        <w:gridCol w:w="3289"/>
        <w:gridCol w:w="3289"/>
        <w:gridCol w:w="3289"/>
      </w:tblGrid>
      <w:tr>
        <w:trPr>
          <w:tblHeader w:val="true"/>
          <w:cantSplit w:val="true"/>
        </w:trPr>
        <w:tc>
          <w:tcPr>
            <w:tcW w:type="dxa" w:w="3289"/>
            <w:vAlign w:val="center"/>
            <w:shd w:fill="D9E6F5"/>
          </w:tcPr>
          <w:p>
            <w:pPr>
              <w:spacing w:after="0"/>
            </w:pPr>
            <w:r/>
            <w:r>
              <w:rPr>
                <w:rFonts w:ascii="Arial" w:hAnsi="Arial"/>
                <w:b/>
                <w:sz w:val="17"/>
              </w:rPr>
              <w:t>Field</w:t>
            </w:r>
          </w:p>
        </w:tc>
        <w:tc>
          <w:tcPr>
            <w:tcW w:type="dxa" w:w="3289"/>
            <w:vAlign w:val="center"/>
            <w:shd w:fill="D9E6F5"/>
          </w:tcPr>
          <w:p>
            <w:pPr>
              <w:spacing w:after="0"/>
            </w:pPr>
            <w:r/>
            <w:r>
              <w:rPr>
                <w:rFonts w:ascii="Arial" w:hAnsi="Arial"/>
                <w:b/>
                <w:sz w:val="17"/>
              </w:rPr>
              <w:t>Plain-language meaning</w:t>
            </w:r>
          </w:p>
        </w:tc>
        <w:tc>
          <w:tcPr>
            <w:tcW w:type="dxa" w:w="3289"/>
            <w:vAlign w:val="center"/>
            <w:shd w:fill="D9E6F5"/>
          </w:tcPr>
          <w:p>
            <w:pPr>
              <w:spacing w:after="0"/>
            </w:pPr>
            <w:r/>
            <w:r>
              <w:rPr>
                <w:rFonts w:ascii="Arial" w:hAnsi="Arial"/>
                <w:b/>
                <w:sz w:val="17"/>
              </w:rPr>
              <w:t>Main caution</w:t>
            </w:r>
          </w:p>
        </w:tc>
      </w:tr>
      <w:tr>
        <w:trPr>
          <w:cantSplit w:val="true"/>
        </w:trPr>
        <w:tc>
          <w:tcPr>
            <w:tcW w:type="dxa" w:w="3289"/>
            <w:vAlign w:val="center"/>
          </w:tcPr>
          <w:p>
            <w:pPr>
              <w:spacing w:after="0"/>
            </w:pPr>
            <w:r/>
            <w:r>
              <w:rPr>
                <w:rFonts w:ascii="Arial" w:hAnsi="Arial"/>
                <w:b w:val="0"/>
                <w:sz w:val="17"/>
              </w:rPr>
              <w:t>cve</w:t>
            </w:r>
          </w:p>
        </w:tc>
        <w:tc>
          <w:tcPr>
            <w:tcW w:type="dxa" w:w="3289"/>
            <w:vAlign w:val="center"/>
          </w:tcPr>
          <w:p>
            <w:pPr>
              <w:spacing w:after="0"/>
            </w:pPr>
            <w:r/>
            <w:r>
              <w:rPr>
                <w:rFonts w:ascii="Arial" w:hAnsi="Arial"/>
                <w:b w:val="0"/>
                <w:sz w:val="17"/>
              </w:rPr>
              <w:t>CVE plus a row suffix</w:t>
            </w:r>
          </w:p>
        </w:tc>
        <w:tc>
          <w:tcPr>
            <w:tcW w:type="dxa" w:w="3289"/>
            <w:vAlign w:val="center"/>
          </w:tcPr>
          <w:p>
            <w:pPr>
              <w:spacing w:after="0"/>
            </w:pPr>
            <w:r/>
            <w:r>
              <w:rPr>
                <w:rFonts w:ascii="Arial" w:hAnsi="Arial"/>
                <w:b w:val="0"/>
                <w:sz w:val="17"/>
              </w:rPr>
              <w:t>Remove the suffix before CVE-level analysis</w:t>
            </w:r>
          </w:p>
        </w:tc>
      </w:tr>
      <w:tr>
        <w:trPr>
          <w:cantSplit w:val="true"/>
        </w:trPr>
        <w:tc>
          <w:tcPr>
            <w:tcW w:type="dxa" w:w="3289"/>
            <w:vAlign w:val="center"/>
          </w:tcPr>
          <w:p>
            <w:pPr>
              <w:spacing w:after="0"/>
            </w:pPr>
            <w:r/>
            <w:r>
              <w:rPr>
                <w:rFonts w:ascii="Arial" w:hAnsi="Arial"/>
                <w:b w:val="0"/>
                <w:sz w:val="17"/>
              </w:rPr>
              <w:t>source</w:t>
            </w:r>
          </w:p>
        </w:tc>
        <w:tc>
          <w:tcPr>
            <w:tcW w:type="dxa" w:w="3289"/>
            <w:vAlign w:val="center"/>
          </w:tcPr>
          <w:p>
            <w:pPr>
              <w:spacing w:after="0"/>
            </w:pPr>
            <w:r/>
            <w:r>
              <w:rPr>
                <w:rFonts w:ascii="Arial" w:hAnsi="Arial"/>
                <w:b w:val="0"/>
                <w:sz w:val="17"/>
              </w:rPr>
              <w:t>Source of the collected post</w:t>
            </w:r>
          </w:p>
        </w:tc>
        <w:tc>
          <w:tcPr>
            <w:tcW w:type="dxa" w:w="3289"/>
            <w:vAlign w:val="center"/>
          </w:tcPr>
          <w:p>
            <w:pPr>
              <w:spacing w:after="0"/>
            </w:pPr>
            <w:r/>
            <w:r>
              <w:rPr>
                <w:rFonts w:ascii="Arial" w:hAnsi="Arial"/>
                <w:b w:val="0"/>
                <w:sz w:val="17"/>
              </w:rPr>
              <w:t>Sources cover different dates and CVE populations</w:t>
            </w:r>
          </w:p>
        </w:tc>
      </w:tr>
      <w:tr>
        <w:trPr>
          <w:cantSplit w:val="true"/>
        </w:trPr>
        <w:tc>
          <w:tcPr>
            <w:tcW w:type="dxa" w:w="3289"/>
            <w:vAlign w:val="center"/>
          </w:tcPr>
          <w:p>
            <w:pPr>
              <w:spacing w:after="0"/>
            </w:pPr>
            <w:r/>
            <w:r>
              <w:rPr>
                <w:rFonts w:ascii="Arial" w:hAnsi="Arial"/>
                <w:b w:val="0"/>
                <w:sz w:val="17"/>
              </w:rPr>
              <w:t>date_posted</w:t>
            </w:r>
          </w:p>
        </w:tc>
        <w:tc>
          <w:tcPr>
            <w:tcW w:type="dxa" w:w="3289"/>
            <w:vAlign w:val="center"/>
          </w:tcPr>
          <w:p>
            <w:pPr>
              <w:spacing w:after="0"/>
            </w:pPr>
            <w:r/>
            <w:r>
              <w:rPr>
                <w:rFonts w:ascii="Arial" w:hAnsi="Arial"/>
                <w:b w:val="0"/>
                <w:sz w:val="17"/>
              </w:rPr>
              <w:t>Recorded publication date</w:t>
            </w:r>
          </w:p>
        </w:tc>
        <w:tc>
          <w:tcPr>
            <w:tcW w:type="dxa" w:w="3289"/>
            <w:vAlign w:val="center"/>
          </w:tcPr>
          <w:p>
            <w:pPr>
              <w:spacing w:after="0"/>
            </w:pPr>
            <w:r/>
            <w:r>
              <w:rPr>
                <w:rFonts w:ascii="Arial" w:hAnsi="Arial"/>
                <w:b w:val="0"/>
                <w:sz w:val="17"/>
              </w:rPr>
              <w:t>Used to define event order and time windows</w:t>
            </w:r>
          </w:p>
        </w:tc>
      </w:tr>
      <w:tr>
        <w:trPr>
          <w:cantSplit w:val="true"/>
        </w:trPr>
        <w:tc>
          <w:tcPr>
            <w:tcW w:type="dxa" w:w="3289"/>
            <w:vAlign w:val="center"/>
          </w:tcPr>
          <w:p>
            <w:pPr>
              <w:spacing w:after="0"/>
            </w:pPr>
            <w:r/>
            <w:r>
              <w:rPr>
                <w:rFonts w:ascii="Arial" w:hAnsi="Arial"/>
                <w:b w:val="0"/>
                <w:sz w:val="17"/>
              </w:rPr>
              <w:t>time_posted</w:t>
            </w:r>
          </w:p>
        </w:tc>
        <w:tc>
          <w:tcPr>
            <w:tcW w:type="dxa" w:w="3289"/>
            <w:vAlign w:val="center"/>
          </w:tcPr>
          <w:p>
            <w:pPr>
              <w:spacing w:after="0"/>
            </w:pPr>
            <w:r/>
            <w:r>
              <w:rPr>
                <w:rFonts w:ascii="Arial" w:hAnsi="Arial"/>
                <w:b w:val="0"/>
                <w:sz w:val="17"/>
              </w:rPr>
              <w:t>Recorded publication time</w:t>
            </w:r>
          </w:p>
        </w:tc>
        <w:tc>
          <w:tcPr>
            <w:tcW w:type="dxa" w:w="3289"/>
            <w:vAlign w:val="center"/>
          </w:tcPr>
          <w:p>
            <w:pPr>
              <w:spacing w:after="0"/>
            </w:pPr>
            <w:r/>
            <w:r>
              <w:rPr>
                <w:rFonts w:ascii="Arial" w:hAnsi="Arial"/>
                <w:b w:val="0"/>
                <w:sz w:val="17"/>
              </w:rPr>
              <w:t>00:00 is a placeholder on several sources</w:t>
            </w:r>
          </w:p>
        </w:tc>
      </w:tr>
      <w:tr>
        <w:trPr>
          <w:cantSplit w:val="true"/>
        </w:trPr>
        <w:tc>
          <w:tcPr>
            <w:tcW w:type="dxa" w:w="3289"/>
            <w:vAlign w:val="center"/>
          </w:tcPr>
          <w:p>
            <w:pPr>
              <w:spacing w:after="0"/>
            </w:pPr>
            <w:r/>
            <w:r>
              <w:rPr>
                <w:rFonts w:ascii="Arial" w:hAnsi="Arial"/>
                <w:b w:val="0"/>
                <w:sz w:val="17"/>
              </w:rPr>
              <w:t>social_media_post</w:t>
            </w:r>
          </w:p>
        </w:tc>
        <w:tc>
          <w:tcPr>
            <w:tcW w:type="dxa" w:w="3289"/>
            <w:vAlign w:val="center"/>
          </w:tcPr>
          <w:p>
            <w:pPr>
              <w:spacing w:after="0"/>
            </w:pPr>
            <w:r/>
            <w:r>
              <w:rPr>
                <w:rFonts w:ascii="Arial" w:hAnsi="Arial"/>
                <w:b w:val="0"/>
                <w:sz w:val="17"/>
              </w:rPr>
              <w:t>Original collected text</w:t>
            </w:r>
          </w:p>
        </w:tc>
        <w:tc>
          <w:tcPr>
            <w:tcW w:type="dxa" w:w="3289"/>
            <w:vAlign w:val="center"/>
          </w:tcPr>
          <w:p>
            <w:pPr>
              <w:spacing w:after="0"/>
            </w:pPr>
            <w:r/>
            <w:r>
              <w:rPr>
                <w:rFonts w:ascii="Arial" w:hAnsi="Arial"/>
                <w:b w:val="0"/>
                <w:sz w:val="17"/>
              </w:rPr>
              <w:t>Some rows are page dumps or reuse identical text</w:t>
            </w:r>
          </w:p>
        </w:tc>
      </w:tr>
      <w:tr>
        <w:trPr>
          <w:cantSplit w:val="true"/>
        </w:trPr>
        <w:tc>
          <w:tcPr>
            <w:tcW w:type="dxa" w:w="3289"/>
            <w:vAlign w:val="center"/>
          </w:tcPr>
          <w:p>
            <w:pPr>
              <w:spacing w:after="0"/>
            </w:pPr>
            <w:r/>
            <w:r>
              <w:rPr>
                <w:rFonts w:ascii="Arial" w:hAnsi="Arial"/>
                <w:b w:val="0"/>
                <w:sz w:val="17"/>
              </w:rPr>
              <w:t>epss_score</w:t>
            </w:r>
          </w:p>
        </w:tc>
        <w:tc>
          <w:tcPr>
            <w:tcW w:type="dxa" w:w="3289"/>
            <w:vAlign w:val="center"/>
          </w:tcPr>
          <w:p>
            <w:pPr>
              <w:spacing w:after="0"/>
            </w:pPr>
            <w:r/>
            <w:r>
              <w:rPr>
                <w:rFonts w:ascii="Arial" w:hAnsi="Arial"/>
                <w:b w:val="0"/>
                <w:sz w:val="17"/>
              </w:rPr>
              <w:t>Predicted 30-day exploitation probability</w:t>
            </w:r>
          </w:p>
        </w:tc>
        <w:tc>
          <w:tcPr>
            <w:tcW w:type="dxa" w:w="3289"/>
            <w:vAlign w:val="center"/>
          </w:tcPr>
          <w:p>
            <w:pPr>
              <w:spacing w:after="0"/>
            </w:pPr>
            <w:r/>
            <w:r>
              <w:rPr>
                <w:rFonts w:ascii="Arial" w:hAnsi="Arial"/>
                <w:b w:val="0"/>
                <w:sz w:val="17"/>
              </w:rPr>
              <w:t>Highly skewed and changes over time</w:t>
            </w:r>
          </w:p>
        </w:tc>
      </w:tr>
      <w:tr>
        <w:trPr>
          <w:cantSplit w:val="true"/>
        </w:trPr>
        <w:tc>
          <w:tcPr>
            <w:tcW w:type="dxa" w:w="3289"/>
            <w:vAlign w:val="center"/>
          </w:tcPr>
          <w:p>
            <w:pPr>
              <w:spacing w:after="0"/>
            </w:pPr>
            <w:r/>
            <w:r>
              <w:rPr>
                <w:rFonts w:ascii="Arial" w:hAnsi="Arial"/>
                <w:b w:val="0"/>
                <w:sz w:val="17"/>
              </w:rPr>
              <w:t>epss_status</w:t>
            </w:r>
          </w:p>
        </w:tc>
        <w:tc>
          <w:tcPr>
            <w:tcW w:type="dxa" w:w="3289"/>
            <w:vAlign w:val="center"/>
          </w:tcPr>
          <w:p>
            <w:pPr>
              <w:spacing w:after="0"/>
            </w:pPr>
            <w:r/>
            <w:r>
              <w:rPr>
                <w:rFonts w:ascii="Arial" w:hAnsi="Arial"/>
                <w:b w:val="0"/>
                <w:sz w:val="17"/>
              </w:rPr>
              <w:t>Whether the score was original or enriched</w:t>
            </w:r>
          </w:p>
        </w:tc>
        <w:tc>
          <w:tcPr>
            <w:tcW w:type="dxa" w:w="3289"/>
            <w:vAlign w:val="center"/>
          </w:tcPr>
          <w:p>
            <w:pPr>
              <w:spacing w:after="0"/>
            </w:pPr>
            <w:r/>
            <w:r>
              <w:rPr>
                <w:rFonts w:ascii="Arial" w:hAnsi="Arial"/>
                <w:b w:val="0"/>
                <w:sz w:val="17"/>
              </w:rPr>
              <w:t>Strongly related to collection source, so it is unsafe as a predictor</w:t>
            </w:r>
          </w:p>
        </w:tc>
      </w:tr>
      <w:tr>
        <w:trPr>
          <w:cantSplit w:val="true"/>
        </w:trPr>
        <w:tc>
          <w:tcPr>
            <w:tcW w:type="dxa" w:w="3289"/>
            <w:vAlign w:val="center"/>
          </w:tcPr>
          <w:p>
            <w:pPr>
              <w:spacing w:after="0"/>
            </w:pPr>
            <w:r/>
            <w:r>
              <w:rPr>
                <w:rFonts w:ascii="Arial" w:hAnsi="Arial"/>
                <w:b w:val="0"/>
                <w:sz w:val="17"/>
              </w:rPr>
              <w:t>cvss_score</w:t>
            </w:r>
          </w:p>
        </w:tc>
        <w:tc>
          <w:tcPr>
            <w:tcW w:type="dxa" w:w="3289"/>
            <w:vAlign w:val="center"/>
          </w:tcPr>
          <w:p>
            <w:pPr>
              <w:spacing w:after="0"/>
            </w:pPr>
            <w:r/>
            <w:r>
              <w:rPr>
                <w:rFonts w:ascii="Arial" w:hAnsi="Arial"/>
                <w:b w:val="0"/>
                <w:sz w:val="17"/>
              </w:rPr>
              <w:t>Technical severity from 0 to 10</w:t>
            </w:r>
          </w:p>
        </w:tc>
        <w:tc>
          <w:tcPr>
            <w:tcW w:type="dxa" w:w="3289"/>
            <w:vAlign w:val="center"/>
          </w:tcPr>
          <w:p>
            <w:pPr>
              <w:spacing w:after="0"/>
            </w:pPr>
            <w:r/>
            <w:r>
              <w:rPr>
                <w:rFonts w:ascii="Arial" w:hAnsi="Arial"/>
                <w:b w:val="0"/>
                <w:sz w:val="17"/>
              </w:rPr>
              <w:t>High severity does not automatically mean high exploitation probability</w:t>
            </w:r>
          </w:p>
        </w:tc>
      </w:tr>
      <w:tr>
        <w:trPr>
          <w:cantSplit w:val="true"/>
        </w:trPr>
        <w:tc>
          <w:tcPr>
            <w:tcW w:type="dxa" w:w="3289"/>
            <w:vAlign w:val="center"/>
          </w:tcPr>
          <w:p>
            <w:pPr>
              <w:spacing w:after="0"/>
            </w:pPr>
            <w:r/>
            <w:r>
              <w:rPr>
                <w:rFonts w:ascii="Arial" w:hAnsi="Arial"/>
                <w:b w:val="0"/>
                <w:sz w:val="17"/>
              </w:rPr>
              <w:t>CVSS submetrics</w:t>
            </w:r>
          </w:p>
        </w:tc>
        <w:tc>
          <w:tcPr>
            <w:tcW w:type="dxa" w:w="3289"/>
            <w:vAlign w:val="center"/>
          </w:tcPr>
          <w:p>
            <w:pPr>
              <w:spacing w:after="0"/>
            </w:pPr>
            <w:r/>
            <w:r>
              <w:rPr>
                <w:rFonts w:ascii="Arial" w:hAnsi="Arial"/>
                <w:b w:val="0"/>
                <w:sz w:val="17"/>
              </w:rPr>
              <w:t>Attack vector, complexity, privileges, interaction, scope, and impacts</w:t>
            </w:r>
          </w:p>
        </w:tc>
        <w:tc>
          <w:tcPr>
            <w:tcW w:type="dxa" w:w="3289"/>
            <w:vAlign w:val="center"/>
          </w:tcPr>
          <w:p>
            <w:pPr>
              <w:spacing w:after="0"/>
            </w:pPr>
            <w:r/>
            <w:r>
              <w:rPr>
                <w:rFonts w:ascii="Arial" w:hAnsi="Arial"/>
                <w:b w:val="0"/>
                <w:sz w:val="17"/>
              </w:rPr>
              <w:t>These components largely determine the CVSS score</w:t>
            </w:r>
          </w:p>
        </w:tc>
      </w:tr>
      <w:tr>
        <w:trPr>
          <w:cantSplit w:val="true"/>
        </w:trPr>
        <w:tc>
          <w:tcPr>
            <w:tcW w:type="dxa" w:w="3289"/>
            <w:vAlign w:val="center"/>
          </w:tcPr>
          <w:p>
            <w:pPr>
              <w:spacing w:after="0"/>
            </w:pPr>
            <w:r/>
            <w:r>
              <w:rPr>
                <w:rFonts w:ascii="Arial" w:hAnsi="Arial"/>
                <w:b w:val="0"/>
                <w:sz w:val="17"/>
              </w:rPr>
              <w:t>occurrence_count</w:t>
            </w:r>
          </w:p>
        </w:tc>
        <w:tc>
          <w:tcPr>
            <w:tcW w:type="dxa" w:w="3289"/>
            <w:vAlign w:val="center"/>
          </w:tcPr>
          <w:p>
            <w:pPr>
              <w:spacing w:after="0"/>
            </w:pPr>
            <w:r/>
            <w:r>
              <w:rPr>
                <w:rFonts w:ascii="Arial" w:hAnsi="Arial"/>
                <w:b w:val="0"/>
                <w:sz w:val="17"/>
              </w:rPr>
              <w:t>Supplied count of CVE appearances</w:t>
            </w:r>
          </w:p>
        </w:tc>
        <w:tc>
          <w:tcPr>
            <w:tcW w:type="dxa" w:w="3289"/>
            <w:vAlign w:val="center"/>
          </w:tcPr>
          <w:p>
            <w:pPr>
              <w:spacing w:after="0"/>
            </w:pPr>
            <w:r/>
            <w:r>
              <w:rPr>
                <w:rFonts w:ascii="Arial" w:hAnsi="Arial"/>
                <w:b w:val="0"/>
                <w:sz w:val="17"/>
              </w:rPr>
              <w:t>Can reflect collection behavior rather than real-world attention</w:t>
            </w:r>
          </w:p>
        </w:tc>
      </w:tr>
      <w:tr>
        <w:trPr>
          <w:cantSplit w:val="true"/>
        </w:trPr>
        <w:tc>
          <w:tcPr>
            <w:tcW w:type="dxa" w:w="3289"/>
            <w:vAlign w:val="center"/>
          </w:tcPr>
          <w:p>
            <w:pPr>
              <w:spacing w:after="0"/>
            </w:pPr>
            <w:r/>
            <w:r>
              <w:rPr>
                <w:rFonts w:ascii="Arial" w:hAnsi="Arial"/>
                <w:b w:val="0"/>
                <w:sz w:val="17"/>
              </w:rPr>
              <w:t>source_links, github_urls</w:t>
            </w:r>
          </w:p>
        </w:tc>
        <w:tc>
          <w:tcPr>
            <w:tcW w:type="dxa" w:w="3289"/>
            <w:vAlign w:val="center"/>
          </w:tcPr>
          <w:p>
            <w:pPr>
              <w:spacing w:after="0"/>
            </w:pPr>
            <w:r/>
            <w:r>
              <w:rPr>
                <w:rFonts w:ascii="Arial" w:hAnsi="Arial"/>
                <w:b w:val="0"/>
                <w:sz w:val="17"/>
              </w:rPr>
              <w:t>External references and GitHub evidence</w:t>
            </w:r>
          </w:p>
        </w:tc>
        <w:tc>
          <w:tcPr>
            <w:tcW w:type="dxa" w:w="3289"/>
            <w:vAlign w:val="center"/>
          </w:tcPr>
          <w:p>
            <w:pPr>
              <w:spacing w:after="0"/>
            </w:pPr>
            <w:r/>
            <w:r>
              <w:rPr>
                <w:rFonts w:ascii="Arial" w:hAnsi="Arial"/>
                <w:b w:val="0"/>
                <w:sz w:val="17"/>
              </w:rPr>
              <w:t>GitHub information is missing for many rows</w:t>
            </w:r>
          </w:p>
        </w:tc>
      </w:tr>
      <w:tr>
        <w:trPr>
          <w:cantSplit w:val="true"/>
        </w:trPr>
        <w:tc>
          <w:tcPr>
            <w:tcW w:type="dxa" w:w="3289"/>
            <w:vAlign w:val="center"/>
          </w:tcPr>
          <w:p>
            <w:pPr>
              <w:spacing w:after="0"/>
            </w:pPr>
            <w:r/>
            <w:r>
              <w:rPr>
                <w:rFonts w:ascii="Arial" w:hAnsi="Arial"/>
                <w:b w:val="0"/>
                <w:sz w:val="17"/>
              </w:rPr>
              <w:t>summ_all_sources</w:t>
            </w:r>
          </w:p>
        </w:tc>
        <w:tc>
          <w:tcPr>
            <w:tcW w:type="dxa" w:w="3289"/>
            <w:vAlign w:val="center"/>
          </w:tcPr>
          <w:p>
            <w:pPr>
              <w:spacing w:after="0"/>
            </w:pPr>
            <w:r/>
            <w:r>
              <w:rPr>
                <w:rFonts w:ascii="Arial" w:hAnsi="Arial"/>
                <w:b w:val="0"/>
                <w:sz w:val="17"/>
              </w:rPr>
              <w:t>LLM summary of external references</w:t>
            </w:r>
          </w:p>
        </w:tc>
        <w:tc>
          <w:tcPr>
            <w:tcW w:type="dxa" w:w="3289"/>
            <w:vAlign w:val="center"/>
          </w:tcPr>
          <w:p>
            <w:pPr>
              <w:spacing w:after="0"/>
            </w:pPr>
            <w:r/>
            <w:r>
              <w:rPr>
                <w:rFonts w:ascii="Arial" w:hAnsi="Arial"/>
                <w:b w:val="0"/>
                <w:sz w:val="17"/>
              </w:rPr>
              <w:t>Coverage and wording differ by model</w:t>
            </w:r>
          </w:p>
        </w:tc>
      </w:tr>
      <w:tr>
        <w:trPr>
          <w:cantSplit w:val="true"/>
        </w:trPr>
        <w:tc>
          <w:tcPr>
            <w:tcW w:type="dxa" w:w="3289"/>
            <w:vAlign w:val="center"/>
          </w:tcPr>
          <w:p>
            <w:pPr>
              <w:spacing w:after="0"/>
            </w:pPr>
            <w:r/>
            <w:r>
              <w:rPr>
                <w:rFonts w:ascii="Arial" w:hAnsi="Arial"/>
                <w:b w:val="0"/>
                <w:sz w:val="17"/>
              </w:rPr>
              <w:t>summ_github_urls</w:t>
            </w:r>
          </w:p>
        </w:tc>
        <w:tc>
          <w:tcPr>
            <w:tcW w:type="dxa" w:w="3289"/>
            <w:vAlign w:val="center"/>
          </w:tcPr>
          <w:p>
            <w:pPr>
              <w:spacing w:after="0"/>
            </w:pPr>
            <w:r/>
            <w:r>
              <w:rPr>
                <w:rFonts w:ascii="Arial" w:hAnsi="Arial"/>
                <w:b w:val="0"/>
                <w:sz w:val="17"/>
              </w:rPr>
              <w:t>LLM summary of GitHub evidence</w:t>
            </w:r>
          </w:p>
        </w:tc>
        <w:tc>
          <w:tcPr>
            <w:tcW w:type="dxa" w:w="3289"/>
            <w:vAlign w:val="center"/>
          </w:tcPr>
          <w:p>
            <w:pPr>
              <w:spacing w:after="0"/>
            </w:pPr>
            <w:r/>
            <w:r>
              <w:rPr>
                <w:rFonts w:ascii="Arial" w:hAnsi="Arial"/>
                <w:b w:val="0"/>
                <w:sz w:val="17"/>
              </w:rPr>
              <w:t>Sparse and model-dependent</w:t>
            </w:r>
          </w:p>
        </w:tc>
      </w:tr>
      <w:tr>
        <w:trPr>
          <w:cantSplit w:val="true"/>
        </w:trPr>
        <w:tc>
          <w:tcPr>
            <w:tcW w:type="dxa" w:w="3289"/>
            <w:vAlign w:val="center"/>
          </w:tcPr>
          <w:p>
            <w:pPr>
              <w:spacing w:after="0"/>
            </w:pPr>
            <w:r/>
            <w:r>
              <w:rPr>
                <w:rFonts w:ascii="Arial" w:hAnsi="Arial"/>
                <w:b w:val="0"/>
                <w:sz w:val="17"/>
              </w:rPr>
              <w:t>summ_cvss_metrics</w:t>
            </w:r>
          </w:p>
        </w:tc>
        <w:tc>
          <w:tcPr>
            <w:tcW w:type="dxa" w:w="3289"/>
            <w:vAlign w:val="center"/>
          </w:tcPr>
          <w:p>
            <w:pPr>
              <w:spacing w:after="0"/>
            </w:pPr>
            <w:r/>
            <w:r>
              <w:rPr>
                <w:rFonts w:ascii="Arial" w:hAnsi="Arial"/>
                <w:b w:val="0"/>
                <w:sz w:val="17"/>
              </w:rPr>
              <w:t>LLM explanation of CVSS metrics</w:t>
            </w:r>
          </w:p>
        </w:tc>
        <w:tc>
          <w:tcPr>
            <w:tcW w:type="dxa" w:w="3289"/>
            <w:vAlign w:val="center"/>
          </w:tcPr>
          <w:p>
            <w:pPr>
              <w:spacing w:after="0"/>
            </w:pPr>
            <w:r/>
            <w:r>
              <w:rPr>
                <w:rFonts w:ascii="Arial" w:hAnsi="Arial"/>
                <w:b w:val="0"/>
                <w:sz w:val="17"/>
              </w:rPr>
              <w:t>Often restates information already present in structured columns</w:t>
            </w:r>
          </w:p>
        </w:tc>
      </w:tr>
    </w:tbl>
    <w:p>
      <w:pPr>
        <w:spacing w:after="40"/>
      </w:pPr>
    </w:p>
    <w:p>
      <w:pPr>
        <w:pStyle w:val="Heading1"/>
      </w:pPr>
      <w:r>
        <w:t>5. Source Profile</w:t>
      </w:r>
    </w:p>
    <w:tbl>
      <w:tblPr>
        <w:tblStyle w:val="TableGrid"/>
        <w:tblW w:type="auto" w:w="0"/>
        <w:tblLayout w:type="autofit"/>
        <w:tblLook w:firstColumn="1" w:firstRow="1" w:lastColumn="0" w:lastRow="0" w:noHBand="0" w:noVBand="1" w:val="04A0"/>
      </w:tblPr>
      <w:tblGrid>
        <w:gridCol w:w="1096"/>
        <w:gridCol w:w="1096"/>
        <w:gridCol w:w="1096"/>
        <w:gridCol w:w="1096"/>
        <w:gridCol w:w="1096"/>
        <w:gridCol w:w="1096"/>
        <w:gridCol w:w="1096"/>
        <w:gridCol w:w="1096"/>
        <w:gridCol w:w="1096"/>
      </w:tblGrid>
      <w:tr>
        <w:trPr>
          <w:tblHeader w:val="true"/>
          <w:cantSplit w:val="true"/>
        </w:trPr>
        <w:tc>
          <w:tcPr>
            <w:tcW w:type="dxa" w:w="1096"/>
            <w:vAlign w:val="center"/>
            <w:shd w:fill="D9E6F5"/>
          </w:tcPr>
          <w:p>
            <w:pPr>
              <w:spacing w:after="0"/>
            </w:pPr>
            <w:r/>
            <w:r>
              <w:rPr>
                <w:rFonts w:ascii="Arial" w:hAnsi="Arial"/>
                <w:b/>
                <w:sz w:val="14"/>
              </w:rPr>
              <w:t>Source</w:t>
            </w:r>
          </w:p>
        </w:tc>
        <w:tc>
          <w:tcPr>
            <w:tcW w:type="dxa" w:w="1096"/>
            <w:vAlign w:val="center"/>
            <w:shd w:fill="D9E6F5"/>
          </w:tcPr>
          <w:p>
            <w:pPr>
              <w:spacing w:after="0"/>
            </w:pPr>
            <w:r/>
            <w:r>
              <w:rPr>
                <w:rFonts w:ascii="Arial" w:hAnsi="Arial"/>
                <w:b/>
                <w:sz w:val="14"/>
              </w:rPr>
              <w:t>Post-CVE rows</w:t>
            </w:r>
          </w:p>
        </w:tc>
        <w:tc>
          <w:tcPr>
            <w:tcW w:type="dxa" w:w="1096"/>
            <w:vAlign w:val="center"/>
            <w:shd w:fill="D9E6F5"/>
          </w:tcPr>
          <w:p>
            <w:pPr>
              <w:spacing w:after="0"/>
            </w:pPr>
            <w:r/>
            <w:r>
              <w:rPr>
                <w:rFonts w:ascii="Arial" w:hAnsi="Arial"/>
                <w:b/>
                <w:sz w:val="14"/>
              </w:rPr>
              <w:t>Unique CVEs</w:t>
            </w:r>
          </w:p>
        </w:tc>
        <w:tc>
          <w:tcPr>
            <w:tcW w:type="dxa" w:w="1096"/>
            <w:vAlign w:val="center"/>
            <w:shd w:fill="D9E6F5"/>
          </w:tcPr>
          <w:p>
            <w:pPr>
              <w:spacing w:after="0"/>
            </w:pPr>
            <w:r/>
            <w:r>
              <w:rPr>
                <w:rFonts w:ascii="Arial" w:hAnsi="Arial"/>
                <w:b/>
                <w:sz w:val="14"/>
              </w:rPr>
              <w:t>Mean EPSS</w:t>
            </w:r>
          </w:p>
        </w:tc>
        <w:tc>
          <w:tcPr>
            <w:tcW w:type="dxa" w:w="1096"/>
            <w:vAlign w:val="center"/>
            <w:shd w:fill="D9E6F5"/>
          </w:tcPr>
          <w:p>
            <w:pPr>
              <w:spacing w:after="0"/>
            </w:pPr>
            <w:r/>
            <w:r>
              <w:rPr>
                <w:rFonts w:ascii="Arial" w:hAnsi="Arial"/>
                <w:b/>
                <w:sz w:val="14"/>
              </w:rPr>
              <w:t>Median EPSS</w:t>
            </w:r>
          </w:p>
        </w:tc>
        <w:tc>
          <w:tcPr>
            <w:tcW w:type="dxa" w:w="1096"/>
            <w:vAlign w:val="center"/>
            <w:shd w:fill="D9E6F5"/>
          </w:tcPr>
          <w:p>
            <w:pPr>
              <w:spacing w:after="0"/>
            </w:pPr>
            <w:r/>
            <w:r>
              <w:rPr>
                <w:rFonts w:ascii="Arial" w:hAnsi="Arial"/>
                <w:b/>
                <w:sz w:val="14"/>
              </w:rPr>
              <w:t>Mean CVSS</w:t>
            </w:r>
          </w:p>
        </w:tc>
        <w:tc>
          <w:tcPr>
            <w:tcW w:type="dxa" w:w="1096"/>
            <w:vAlign w:val="center"/>
            <w:shd w:fill="D9E6F5"/>
          </w:tcPr>
          <w:p>
            <w:pPr>
              <w:spacing w:after="0"/>
            </w:pPr>
            <w:r/>
            <w:r>
              <w:rPr>
                <w:rFonts w:ascii="Arial" w:hAnsi="Arial"/>
                <w:b/>
                <w:sz w:val="14"/>
              </w:rPr>
              <w:t>Enriched EPSS rows (%)</w:t>
            </w:r>
          </w:p>
        </w:tc>
        <w:tc>
          <w:tcPr>
            <w:tcW w:type="dxa" w:w="1096"/>
            <w:vAlign w:val="center"/>
            <w:shd w:fill="D9E6F5"/>
          </w:tcPr>
          <w:p>
            <w:pPr>
              <w:spacing w:after="0"/>
            </w:pPr>
            <w:r/>
            <w:r>
              <w:rPr>
                <w:rFonts w:ascii="Arial" w:hAnsi="Arial"/>
                <w:b/>
                <w:sz w:val="14"/>
              </w:rPr>
              <w:t>First date</w:t>
            </w:r>
          </w:p>
        </w:tc>
        <w:tc>
          <w:tcPr>
            <w:tcW w:type="dxa" w:w="1096"/>
            <w:vAlign w:val="center"/>
            <w:shd w:fill="D9E6F5"/>
          </w:tcPr>
          <w:p>
            <w:pPr>
              <w:spacing w:after="0"/>
            </w:pPr>
            <w:r/>
            <w:r>
              <w:rPr>
                <w:rFonts w:ascii="Arial" w:hAnsi="Arial"/>
                <w:b/>
                <w:sz w:val="14"/>
              </w:rPr>
              <w:t>Last date</w:t>
            </w:r>
          </w:p>
        </w:tc>
      </w:tr>
      <w:tr>
        <w:trPr>
          <w:cantSplit w:val="true"/>
        </w:trPr>
        <w:tc>
          <w:tcPr>
            <w:tcW w:type="dxa" w:w="1096"/>
            <w:vAlign w:val="center"/>
          </w:tcPr>
          <w:p>
            <w:pPr>
              <w:spacing w:after="0"/>
            </w:pPr>
            <w:r/>
            <w:r>
              <w:rPr>
                <w:rFonts w:ascii="Arial" w:hAnsi="Arial"/>
                <w:b w:val="0"/>
                <w:sz w:val="14"/>
              </w:rPr>
              <w:t>Mastodon</w:t>
            </w:r>
          </w:p>
        </w:tc>
        <w:tc>
          <w:tcPr>
            <w:tcW w:type="dxa" w:w="1096"/>
            <w:vAlign w:val="center"/>
          </w:tcPr>
          <w:p>
            <w:pPr>
              <w:spacing w:after="0"/>
            </w:pPr>
            <w:r/>
            <w:r>
              <w:rPr>
                <w:rFonts w:ascii="Arial" w:hAnsi="Arial"/>
                <w:b w:val="0"/>
                <w:sz w:val="14"/>
              </w:rPr>
              <w:t>3136</w:t>
            </w:r>
          </w:p>
        </w:tc>
        <w:tc>
          <w:tcPr>
            <w:tcW w:type="dxa" w:w="1096"/>
            <w:vAlign w:val="center"/>
          </w:tcPr>
          <w:p>
            <w:pPr>
              <w:spacing w:after="0"/>
            </w:pPr>
            <w:r/>
            <w:r>
              <w:rPr>
                <w:rFonts w:ascii="Arial" w:hAnsi="Arial"/>
                <w:b w:val="0"/>
                <w:sz w:val="14"/>
              </w:rPr>
              <w:t>2860</w:t>
            </w:r>
          </w:p>
        </w:tc>
        <w:tc>
          <w:tcPr>
            <w:tcW w:type="dxa" w:w="1096"/>
            <w:vAlign w:val="center"/>
          </w:tcPr>
          <w:p>
            <w:pPr>
              <w:spacing w:after="0"/>
            </w:pPr>
            <w:r/>
            <w:r>
              <w:rPr>
                <w:rFonts w:ascii="Arial" w:hAnsi="Arial"/>
                <w:b w:val="0"/>
                <w:sz w:val="14"/>
              </w:rPr>
              <w:t>0.0085929</w:t>
            </w:r>
          </w:p>
        </w:tc>
        <w:tc>
          <w:tcPr>
            <w:tcW w:type="dxa" w:w="1096"/>
            <w:vAlign w:val="center"/>
          </w:tcPr>
          <w:p>
            <w:pPr>
              <w:spacing w:after="0"/>
            </w:pPr>
            <w:r/>
            <w:r>
              <w:rPr>
                <w:rFonts w:ascii="Arial" w:hAnsi="Arial"/>
                <w:b w:val="0"/>
                <w:sz w:val="14"/>
              </w:rPr>
              <w:t>0.00043</w:t>
            </w:r>
          </w:p>
        </w:tc>
        <w:tc>
          <w:tcPr>
            <w:tcW w:type="dxa" w:w="1096"/>
            <w:vAlign w:val="center"/>
          </w:tcPr>
          <w:p>
            <w:pPr>
              <w:spacing w:after="0"/>
            </w:pPr>
            <w:r/>
            <w:r>
              <w:rPr>
                <w:rFonts w:ascii="Arial" w:hAnsi="Arial"/>
                <w:b w:val="0"/>
                <w:sz w:val="14"/>
              </w:rPr>
              <w:t>8.8121</w:t>
            </w:r>
          </w:p>
        </w:tc>
        <w:tc>
          <w:tcPr>
            <w:tcW w:type="dxa" w:w="1096"/>
            <w:vAlign w:val="center"/>
          </w:tcPr>
          <w:p>
            <w:pPr>
              <w:spacing w:after="0"/>
            </w:pPr>
            <w:r/>
            <w:r>
              <w:rPr>
                <w:rFonts w:ascii="Arial" w:hAnsi="Arial"/>
                <w:b w:val="0"/>
                <w:sz w:val="14"/>
              </w:rPr>
              <w:t>58.578</w:t>
            </w:r>
          </w:p>
        </w:tc>
        <w:tc>
          <w:tcPr>
            <w:tcW w:type="dxa" w:w="1096"/>
            <w:vAlign w:val="center"/>
          </w:tcPr>
          <w:p>
            <w:pPr>
              <w:spacing w:after="0"/>
            </w:pPr>
            <w:r/>
            <w:r>
              <w:rPr>
                <w:rFonts w:ascii="Arial" w:hAnsi="Arial"/>
                <w:b w:val="0"/>
                <w:sz w:val="14"/>
              </w:rPr>
              <w:t>2024-09-04</w:t>
            </w:r>
          </w:p>
        </w:tc>
        <w:tc>
          <w:tcPr>
            <w:tcW w:type="dxa" w:w="1096"/>
            <w:vAlign w:val="center"/>
          </w:tcPr>
          <w:p>
            <w:pPr>
              <w:spacing w:after="0"/>
            </w:pPr>
            <w:r/>
            <w:r>
              <w:rPr>
                <w:rFonts w:ascii="Arial" w:hAnsi="Arial"/>
                <w:b w:val="0"/>
                <w:sz w:val="14"/>
              </w:rPr>
              <w:t>2025-05-20</w:t>
            </w:r>
          </w:p>
        </w:tc>
      </w:tr>
      <w:tr>
        <w:trPr>
          <w:cantSplit w:val="true"/>
        </w:trPr>
        <w:tc>
          <w:tcPr>
            <w:tcW w:type="dxa" w:w="1096"/>
            <w:vAlign w:val="center"/>
          </w:tcPr>
          <w:p>
            <w:pPr>
              <w:spacing w:after="0"/>
            </w:pPr>
            <w:r/>
            <w:r>
              <w:rPr>
                <w:rFonts w:ascii="Arial" w:hAnsi="Arial"/>
                <w:b w:val="0"/>
                <w:sz w:val="14"/>
              </w:rPr>
              <w:t>Reddit</w:t>
            </w:r>
          </w:p>
        </w:tc>
        <w:tc>
          <w:tcPr>
            <w:tcW w:type="dxa" w:w="1096"/>
            <w:vAlign w:val="center"/>
          </w:tcPr>
          <w:p>
            <w:pPr>
              <w:spacing w:after="0"/>
            </w:pPr>
            <w:r/>
            <w:r>
              <w:rPr>
                <w:rFonts w:ascii="Arial" w:hAnsi="Arial"/>
                <w:b w:val="0"/>
                <w:sz w:val="14"/>
              </w:rPr>
              <w:t>1333</w:t>
            </w:r>
          </w:p>
        </w:tc>
        <w:tc>
          <w:tcPr>
            <w:tcW w:type="dxa" w:w="1096"/>
            <w:vAlign w:val="center"/>
          </w:tcPr>
          <w:p>
            <w:pPr>
              <w:spacing w:after="0"/>
            </w:pPr>
            <w:r/>
            <w:r>
              <w:rPr>
                <w:rFonts w:ascii="Arial" w:hAnsi="Arial"/>
                <w:b w:val="0"/>
                <w:sz w:val="14"/>
              </w:rPr>
              <w:t>616</w:t>
            </w:r>
          </w:p>
        </w:tc>
        <w:tc>
          <w:tcPr>
            <w:tcW w:type="dxa" w:w="1096"/>
            <w:vAlign w:val="center"/>
          </w:tcPr>
          <w:p>
            <w:pPr>
              <w:spacing w:after="0"/>
            </w:pPr>
            <w:r/>
            <w:r>
              <w:rPr>
                <w:rFonts w:ascii="Arial" w:hAnsi="Arial"/>
                <w:b w:val="0"/>
                <w:sz w:val="14"/>
              </w:rPr>
              <w:t>0.1495</w:t>
            </w:r>
          </w:p>
        </w:tc>
        <w:tc>
          <w:tcPr>
            <w:tcW w:type="dxa" w:w="1096"/>
            <w:vAlign w:val="center"/>
          </w:tcPr>
          <w:p>
            <w:pPr>
              <w:spacing w:after="0"/>
            </w:pPr>
            <w:r/>
            <w:r>
              <w:rPr>
                <w:rFonts w:ascii="Arial" w:hAnsi="Arial"/>
                <w:b w:val="0"/>
                <w:sz w:val="14"/>
              </w:rPr>
              <w:t>0.00174</w:t>
            </w:r>
          </w:p>
        </w:tc>
        <w:tc>
          <w:tcPr>
            <w:tcW w:type="dxa" w:w="1096"/>
            <w:vAlign w:val="center"/>
          </w:tcPr>
          <w:p>
            <w:pPr>
              <w:spacing w:after="0"/>
            </w:pPr>
            <w:r/>
            <w:r>
              <w:rPr>
                <w:rFonts w:ascii="Arial" w:hAnsi="Arial"/>
                <w:b w:val="0"/>
                <w:sz w:val="14"/>
              </w:rPr>
              <w:t>7.9374</w:t>
            </w:r>
          </w:p>
        </w:tc>
        <w:tc>
          <w:tcPr>
            <w:tcW w:type="dxa" w:w="1096"/>
            <w:vAlign w:val="center"/>
          </w:tcPr>
          <w:p>
            <w:pPr>
              <w:spacing w:after="0"/>
            </w:pPr>
            <w:r/>
            <w:r>
              <w:rPr>
                <w:rFonts w:ascii="Arial" w:hAnsi="Arial"/>
                <w:b w:val="0"/>
                <w:sz w:val="14"/>
              </w:rPr>
              <w:t>5.7764</w:t>
            </w:r>
          </w:p>
        </w:tc>
        <w:tc>
          <w:tcPr>
            <w:tcW w:type="dxa" w:w="1096"/>
            <w:vAlign w:val="center"/>
          </w:tcPr>
          <w:p>
            <w:pPr>
              <w:spacing w:after="0"/>
            </w:pPr>
            <w:r/>
            <w:r>
              <w:rPr>
                <w:rFonts w:ascii="Arial" w:hAnsi="Arial"/>
                <w:b w:val="0"/>
                <w:sz w:val="14"/>
              </w:rPr>
              <w:t>2021-11-23</w:t>
            </w:r>
          </w:p>
        </w:tc>
        <w:tc>
          <w:tcPr>
            <w:tcW w:type="dxa" w:w="1096"/>
            <w:vAlign w:val="center"/>
          </w:tcPr>
          <w:p>
            <w:pPr>
              <w:spacing w:after="0"/>
            </w:pPr>
            <w:r/>
            <w:r>
              <w:rPr>
                <w:rFonts w:ascii="Arial" w:hAnsi="Arial"/>
                <w:b w:val="0"/>
                <w:sz w:val="14"/>
              </w:rPr>
              <w:t>2025-06-01</w:t>
            </w:r>
          </w:p>
        </w:tc>
      </w:tr>
      <w:tr>
        <w:trPr>
          <w:cantSplit w:val="true"/>
        </w:trPr>
        <w:tc>
          <w:tcPr>
            <w:tcW w:type="dxa" w:w="1096"/>
            <w:vAlign w:val="center"/>
          </w:tcPr>
          <w:p>
            <w:pPr>
              <w:spacing w:after="0"/>
            </w:pPr>
            <w:r/>
            <w:r>
              <w:rPr>
                <w:rFonts w:ascii="Arial" w:hAnsi="Arial"/>
                <w:b w:val="0"/>
                <w:sz w:val="14"/>
              </w:rPr>
              <w:t>HackerNews</w:t>
            </w:r>
          </w:p>
        </w:tc>
        <w:tc>
          <w:tcPr>
            <w:tcW w:type="dxa" w:w="1096"/>
            <w:vAlign w:val="center"/>
          </w:tcPr>
          <w:p>
            <w:pPr>
              <w:spacing w:after="0"/>
            </w:pPr>
            <w:r/>
            <w:r>
              <w:rPr>
                <w:rFonts w:ascii="Arial" w:hAnsi="Arial"/>
                <w:b w:val="0"/>
                <w:sz w:val="14"/>
              </w:rPr>
              <w:t>816</w:t>
            </w:r>
          </w:p>
        </w:tc>
        <w:tc>
          <w:tcPr>
            <w:tcW w:type="dxa" w:w="1096"/>
            <w:vAlign w:val="center"/>
          </w:tcPr>
          <w:p>
            <w:pPr>
              <w:spacing w:after="0"/>
            </w:pPr>
            <w:r/>
            <w:r>
              <w:rPr>
                <w:rFonts w:ascii="Arial" w:hAnsi="Arial"/>
                <w:b w:val="0"/>
                <w:sz w:val="14"/>
              </w:rPr>
              <w:t>483</w:t>
            </w:r>
          </w:p>
        </w:tc>
        <w:tc>
          <w:tcPr>
            <w:tcW w:type="dxa" w:w="1096"/>
            <w:vAlign w:val="center"/>
          </w:tcPr>
          <w:p>
            <w:pPr>
              <w:spacing w:after="0"/>
            </w:pPr>
            <w:r/>
            <w:r>
              <w:rPr>
                <w:rFonts w:ascii="Arial" w:hAnsi="Arial"/>
                <w:b w:val="0"/>
                <w:sz w:val="14"/>
              </w:rPr>
              <w:t>0.25256</w:t>
            </w:r>
          </w:p>
        </w:tc>
        <w:tc>
          <w:tcPr>
            <w:tcW w:type="dxa" w:w="1096"/>
            <w:vAlign w:val="center"/>
          </w:tcPr>
          <w:p>
            <w:pPr>
              <w:spacing w:after="0"/>
            </w:pPr>
            <w:r/>
            <w:r>
              <w:rPr>
                <w:rFonts w:ascii="Arial" w:hAnsi="Arial"/>
                <w:b w:val="0"/>
                <w:sz w:val="14"/>
              </w:rPr>
              <w:t>0.00738</w:t>
            </w:r>
          </w:p>
        </w:tc>
        <w:tc>
          <w:tcPr>
            <w:tcW w:type="dxa" w:w="1096"/>
            <w:vAlign w:val="center"/>
          </w:tcPr>
          <w:p>
            <w:pPr>
              <w:spacing w:after="0"/>
            </w:pPr>
            <w:r/>
            <w:r>
              <w:rPr>
                <w:rFonts w:ascii="Arial" w:hAnsi="Arial"/>
                <w:b w:val="0"/>
                <w:sz w:val="14"/>
              </w:rPr>
              <w:t>7.7561</w:t>
            </w:r>
          </w:p>
        </w:tc>
        <w:tc>
          <w:tcPr>
            <w:tcW w:type="dxa" w:w="1096"/>
            <w:vAlign w:val="center"/>
          </w:tcPr>
          <w:p>
            <w:pPr>
              <w:spacing w:after="0"/>
            </w:pPr>
            <w:r/>
            <w:r>
              <w:rPr>
                <w:rFonts w:ascii="Arial" w:hAnsi="Arial"/>
                <w:b w:val="0"/>
                <w:sz w:val="14"/>
              </w:rPr>
              <w:t>4.6569</w:t>
            </w:r>
          </w:p>
        </w:tc>
        <w:tc>
          <w:tcPr>
            <w:tcW w:type="dxa" w:w="1096"/>
            <w:vAlign w:val="center"/>
          </w:tcPr>
          <w:p>
            <w:pPr>
              <w:spacing w:after="0"/>
            </w:pPr>
            <w:r/>
            <w:r>
              <w:rPr>
                <w:rFonts w:ascii="Arial" w:hAnsi="Arial"/>
                <w:b w:val="0"/>
                <w:sz w:val="14"/>
              </w:rPr>
              <w:t>2025-04-07</w:t>
            </w:r>
          </w:p>
        </w:tc>
        <w:tc>
          <w:tcPr>
            <w:tcW w:type="dxa" w:w="1096"/>
            <w:vAlign w:val="center"/>
          </w:tcPr>
          <w:p>
            <w:pPr>
              <w:spacing w:after="0"/>
            </w:pPr>
            <w:r/>
            <w:r>
              <w:rPr>
                <w:rFonts w:ascii="Arial" w:hAnsi="Arial"/>
                <w:b w:val="0"/>
                <w:sz w:val="14"/>
              </w:rPr>
              <w:t>2025-05-28</w:t>
            </w:r>
          </w:p>
        </w:tc>
      </w:tr>
      <w:tr>
        <w:trPr>
          <w:cantSplit w:val="true"/>
        </w:trPr>
        <w:tc>
          <w:tcPr>
            <w:tcW w:type="dxa" w:w="1096"/>
            <w:vAlign w:val="center"/>
          </w:tcPr>
          <w:p>
            <w:pPr>
              <w:spacing w:after="0"/>
            </w:pPr>
            <w:r/>
            <w:r>
              <w:rPr>
                <w:rFonts w:ascii="Arial" w:hAnsi="Arial"/>
                <w:b w:val="0"/>
                <w:sz w:val="14"/>
              </w:rPr>
              <w:t>BleepingComputer</w:t>
            </w:r>
          </w:p>
        </w:tc>
        <w:tc>
          <w:tcPr>
            <w:tcW w:type="dxa" w:w="1096"/>
            <w:vAlign w:val="center"/>
          </w:tcPr>
          <w:p>
            <w:pPr>
              <w:spacing w:after="0"/>
            </w:pPr>
            <w:r/>
            <w:r>
              <w:rPr>
                <w:rFonts w:ascii="Arial" w:hAnsi="Arial"/>
                <w:b w:val="0"/>
                <w:sz w:val="14"/>
              </w:rPr>
              <w:t>755</w:t>
            </w:r>
          </w:p>
        </w:tc>
        <w:tc>
          <w:tcPr>
            <w:tcW w:type="dxa" w:w="1096"/>
            <w:vAlign w:val="center"/>
          </w:tcPr>
          <w:p>
            <w:pPr>
              <w:spacing w:after="0"/>
            </w:pPr>
            <w:r/>
            <w:r>
              <w:rPr>
                <w:rFonts w:ascii="Arial" w:hAnsi="Arial"/>
                <w:b w:val="0"/>
                <w:sz w:val="14"/>
              </w:rPr>
              <w:t>276</w:t>
            </w:r>
          </w:p>
        </w:tc>
        <w:tc>
          <w:tcPr>
            <w:tcW w:type="dxa" w:w="1096"/>
            <w:vAlign w:val="center"/>
          </w:tcPr>
          <w:p>
            <w:pPr>
              <w:spacing w:after="0"/>
            </w:pPr>
            <w:r/>
            <w:r>
              <w:rPr>
                <w:rFonts w:ascii="Arial" w:hAnsi="Arial"/>
                <w:b w:val="0"/>
                <w:sz w:val="14"/>
              </w:rPr>
              <w:t>0.19062</w:t>
            </w:r>
          </w:p>
        </w:tc>
        <w:tc>
          <w:tcPr>
            <w:tcW w:type="dxa" w:w="1096"/>
            <w:vAlign w:val="center"/>
          </w:tcPr>
          <w:p>
            <w:pPr>
              <w:spacing w:after="0"/>
            </w:pPr>
            <w:r/>
            <w:r>
              <w:rPr>
                <w:rFonts w:ascii="Arial" w:hAnsi="Arial"/>
                <w:b w:val="0"/>
                <w:sz w:val="14"/>
              </w:rPr>
              <w:t>0.00228</w:t>
            </w:r>
          </w:p>
        </w:tc>
        <w:tc>
          <w:tcPr>
            <w:tcW w:type="dxa" w:w="1096"/>
            <w:vAlign w:val="center"/>
          </w:tcPr>
          <w:p>
            <w:pPr>
              <w:spacing w:after="0"/>
            </w:pPr>
            <w:r/>
            <w:r>
              <w:rPr>
                <w:rFonts w:ascii="Arial" w:hAnsi="Arial"/>
                <w:b w:val="0"/>
                <w:sz w:val="14"/>
              </w:rPr>
              <w:t>8.1415</w:t>
            </w:r>
          </w:p>
        </w:tc>
        <w:tc>
          <w:tcPr>
            <w:tcW w:type="dxa" w:w="1096"/>
            <w:vAlign w:val="center"/>
          </w:tcPr>
          <w:p>
            <w:pPr>
              <w:spacing w:after="0"/>
            </w:pPr>
            <w:r/>
            <w:r>
              <w:rPr>
                <w:rFonts w:ascii="Arial" w:hAnsi="Arial"/>
                <w:b w:val="0"/>
                <w:sz w:val="14"/>
              </w:rPr>
              <w:t>20.132</w:t>
            </w:r>
          </w:p>
        </w:tc>
        <w:tc>
          <w:tcPr>
            <w:tcW w:type="dxa" w:w="1096"/>
            <w:vAlign w:val="center"/>
          </w:tcPr>
          <w:p>
            <w:pPr>
              <w:spacing w:after="0"/>
            </w:pPr>
            <w:r/>
            <w:r>
              <w:rPr>
                <w:rFonts w:ascii="Arial" w:hAnsi="Arial"/>
                <w:b w:val="0"/>
                <w:sz w:val="14"/>
              </w:rPr>
              <w:t>2025-01-04</w:t>
            </w:r>
          </w:p>
        </w:tc>
        <w:tc>
          <w:tcPr>
            <w:tcW w:type="dxa" w:w="1096"/>
            <w:vAlign w:val="center"/>
          </w:tcPr>
          <w:p>
            <w:pPr>
              <w:spacing w:after="0"/>
            </w:pPr>
            <w:r/>
            <w:r>
              <w:rPr>
                <w:rFonts w:ascii="Arial" w:hAnsi="Arial"/>
                <w:b w:val="0"/>
                <w:sz w:val="14"/>
              </w:rPr>
              <w:t>2025-05-30</w:t>
            </w:r>
          </w:p>
        </w:tc>
      </w:tr>
      <w:tr>
        <w:trPr>
          <w:cantSplit w:val="true"/>
        </w:trPr>
        <w:tc>
          <w:tcPr>
            <w:tcW w:type="dxa" w:w="1096"/>
            <w:vAlign w:val="center"/>
          </w:tcPr>
          <w:p>
            <w:pPr>
              <w:spacing w:after="0"/>
            </w:pPr>
            <w:r/>
            <w:r>
              <w:rPr>
                <w:rFonts w:ascii="Arial" w:hAnsi="Arial"/>
                <w:b w:val="0"/>
                <w:sz w:val="14"/>
              </w:rPr>
              <w:t>ExploitDB</w:t>
            </w:r>
          </w:p>
        </w:tc>
        <w:tc>
          <w:tcPr>
            <w:tcW w:type="dxa" w:w="1096"/>
            <w:vAlign w:val="center"/>
          </w:tcPr>
          <w:p>
            <w:pPr>
              <w:spacing w:after="0"/>
            </w:pPr>
            <w:r/>
            <w:r>
              <w:rPr>
                <w:rFonts w:ascii="Arial" w:hAnsi="Arial"/>
                <w:b w:val="0"/>
                <w:sz w:val="14"/>
              </w:rPr>
              <w:t>588</w:t>
            </w:r>
          </w:p>
        </w:tc>
        <w:tc>
          <w:tcPr>
            <w:tcW w:type="dxa" w:w="1096"/>
            <w:vAlign w:val="center"/>
          </w:tcPr>
          <w:p>
            <w:pPr>
              <w:spacing w:after="0"/>
            </w:pPr>
            <w:r/>
            <w:r>
              <w:rPr>
                <w:rFonts w:ascii="Arial" w:hAnsi="Arial"/>
                <w:b w:val="0"/>
                <w:sz w:val="14"/>
              </w:rPr>
              <w:t>362</w:t>
            </w:r>
          </w:p>
        </w:tc>
        <w:tc>
          <w:tcPr>
            <w:tcW w:type="dxa" w:w="1096"/>
            <w:vAlign w:val="center"/>
          </w:tcPr>
          <w:p>
            <w:pPr>
              <w:spacing w:after="0"/>
            </w:pPr>
            <w:r/>
            <w:r>
              <w:rPr>
                <w:rFonts w:ascii="Arial" w:hAnsi="Arial"/>
                <w:b w:val="0"/>
                <w:sz w:val="14"/>
              </w:rPr>
              <w:t>0.1804</w:t>
            </w:r>
          </w:p>
        </w:tc>
        <w:tc>
          <w:tcPr>
            <w:tcW w:type="dxa" w:w="1096"/>
            <w:vAlign w:val="center"/>
          </w:tcPr>
          <w:p>
            <w:pPr>
              <w:spacing w:after="0"/>
            </w:pPr>
            <w:r/>
            <w:r>
              <w:rPr>
                <w:rFonts w:ascii="Arial" w:hAnsi="Arial"/>
                <w:b w:val="0"/>
                <w:sz w:val="14"/>
              </w:rPr>
              <w:t>0.00146</w:t>
            </w:r>
          </w:p>
        </w:tc>
        <w:tc>
          <w:tcPr>
            <w:tcW w:type="dxa" w:w="1096"/>
            <w:vAlign w:val="center"/>
          </w:tcPr>
          <w:p>
            <w:pPr>
              <w:spacing w:after="0"/>
            </w:pPr>
            <w:r/>
            <w:r>
              <w:rPr>
                <w:rFonts w:ascii="Arial" w:hAnsi="Arial"/>
                <w:b w:val="0"/>
                <w:sz w:val="14"/>
              </w:rPr>
              <w:t>7.7721</w:t>
            </w:r>
          </w:p>
        </w:tc>
        <w:tc>
          <w:tcPr>
            <w:tcW w:type="dxa" w:w="1096"/>
            <w:vAlign w:val="center"/>
          </w:tcPr>
          <w:p>
            <w:pPr>
              <w:spacing w:after="0"/>
            </w:pPr>
            <w:r/>
            <w:r>
              <w:rPr>
                <w:rFonts w:ascii="Arial" w:hAnsi="Arial"/>
                <w:b w:val="0"/>
                <w:sz w:val="14"/>
              </w:rPr>
              <w:t>12.585</w:t>
            </w:r>
          </w:p>
        </w:tc>
        <w:tc>
          <w:tcPr>
            <w:tcW w:type="dxa" w:w="1096"/>
            <w:vAlign w:val="center"/>
          </w:tcPr>
          <w:p>
            <w:pPr>
              <w:spacing w:after="0"/>
            </w:pPr>
            <w:r/>
            <w:r>
              <w:rPr>
                <w:rFonts w:ascii="Arial" w:hAnsi="Arial"/>
                <w:b w:val="0"/>
                <w:sz w:val="14"/>
              </w:rPr>
              <w:t>2023-05-02</w:t>
            </w:r>
          </w:p>
        </w:tc>
        <w:tc>
          <w:tcPr>
            <w:tcW w:type="dxa" w:w="1096"/>
            <w:vAlign w:val="center"/>
          </w:tcPr>
          <w:p>
            <w:pPr>
              <w:spacing w:after="0"/>
            </w:pPr>
            <w:r/>
            <w:r>
              <w:rPr>
                <w:rFonts w:ascii="Arial" w:hAnsi="Arial"/>
                <w:b w:val="0"/>
                <w:sz w:val="14"/>
              </w:rPr>
              <w:t>2025-05-29</w:t>
            </w:r>
          </w:p>
        </w:tc>
      </w:tr>
    </w:tbl>
    <w:p>
      <w:pPr>
        <w:spacing w:after="40"/>
      </w:pPr>
    </w:p>
    <w:p>
      <w:pPr>
        <w:spacing w:after="180"/>
      </w:pPr>
      <w:r>
        <w:rPr>
          <w:b/>
        </w:rPr>
        <w:t>Table notes:</w:t>
      </w:r>
      <w:r>
        <w:t xml:space="preserve"> A “post-CVE row” is one link between a collected post and one CVE. If one post mentions three CVEs, it can create three rows. “Unique CVEs” counts each vulnerability once even if it appears in several posts. Mean EPSS and CVSS are averages; median EPSS is the middle score. “Enriched EPSS rows” shows how often EPSS was added later instead of being present in the original record. The first and last dates show when each source appears in the dataset.</w:t>
      </w:r>
    </w:p>
    <w:p>
      <w:pPr>
        <w:pStyle w:val="Heading1"/>
      </w:pPr>
      <w:r>
        <w:t>6. Figures</w:t>
      </w:r>
    </w:p>
    <w:p>
      <w:pPr>
        <w:spacing w:before="240" w:after="120"/>
        <w:jc w:val="center"/>
      </w:pPr>
      <w:r>
        <w:drawing>
          <wp:inline xmlns:a="http://schemas.openxmlformats.org/drawingml/2006/main" xmlns:pic="http://schemas.openxmlformats.org/drawingml/2006/picture">
            <wp:extent cx="5623560" cy="2858487"/>
            <wp:docPr id="1" name="Picture 1"/>
            <wp:cNvGraphicFramePr>
              <a:graphicFrameLocks noChangeAspect="1"/>
            </wp:cNvGraphicFramePr>
            <a:graphic>
              <a:graphicData uri="http://schemas.openxmlformats.org/drawingml/2006/picture">
                <pic:pic>
                  <pic:nvPicPr>
                    <pic:cNvPr id="0" name="fig1_epss_distribution.png"/>
                    <pic:cNvPicPr/>
                  </pic:nvPicPr>
                  <pic:blipFill>
                    <a:blip r:embed="rId10"/>
                    <a:stretch>
                      <a:fillRect/>
                    </a:stretch>
                  </pic:blipFill>
                  <pic:spPr>
                    <a:xfrm>
                      <a:off x="0" y="0"/>
                      <a:ext cx="5623560" cy="2858487"/>
                    </a:xfrm>
                    <a:prstGeom prst="rect"/>
                  </pic:spPr>
                </pic:pic>
              </a:graphicData>
            </a:graphic>
          </wp:inline>
        </w:drawing>
      </w:r>
    </w:p>
    <w:p>
      <w:pPr>
        <w:keepNext w:val="0"/>
        <w:spacing w:after="240"/>
        <w:jc w:val="center"/>
      </w:pPr>
      <w:r>
        <w:rPr>
          <w:b/>
        </w:rPr>
        <w:t>Figure 1. Distribution of EPSS scores.</w:t>
      </w:r>
      <w:r>
        <w:t xml:space="preserve"> This figure shows how common low and high EPSS scores are. The horizontal axis is EPSS: values near 0 mean very low predicted exploitation probability, while values near 1 mean very high probability. The scale is compressed so very small scores remain visible. The vertical axis counts post-CVE rows, where one row is one link between a collected post and a CVE. The dashed line is the middle score. Most rows have very low EPSS, while a smaller group has much higher scores.</w:t>
      </w:r>
    </w:p>
    <w:p>
      <w:pPr>
        <w:spacing w:before="240" w:after="120"/>
        <w:jc w:val="center"/>
      </w:pPr>
      <w:r>
        <w:drawing>
          <wp:inline xmlns:a="http://schemas.openxmlformats.org/drawingml/2006/main" xmlns:pic="http://schemas.openxmlformats.org/drawingml/2006/picture">
            <wp:extent cx="5623560" cy="2655112"/>
            <wp:docPr id="2" name="Picture 2"/>
            <wp:cNvGraphicFramePr>
              <a:graphicFrameLocks noChangeAspect="1"/>
            </wp:cNvGraphicFramePr>
            <a:graphic>
              <a:graphicData uri="http://schemas.openxmlformats.org/drawingml/2006/picture">
                <pic:pic>
                  <pic:nvPicPr>
                    <pic:cNvPr id="0" name="fig2_monthly_volume_by_platform.png"/>
                    <pic:cNvPicPr/>
                  </pic:nvPicPr>
                  <pic:blipFill>
                    <a:blip r:embed="rId11"/>
                    <a:stretch>
                      <a:fillRect/>
                    </a:stretch>
                  </pic:blipFill>
                  <pic:spPr>
                    <a:xfrm>
                      <a:off x="0" y="0"/>
                      <a:ext cx="5623560" cy="2655112"/>
                    </a:xfrm>
                    <a:prstGeom prst="rect"/>
                  </pic:spPr>
                </pic:pic>
              </a:graphicData>
            </a:graphic>
          </wp:inline>
        </w:drawing>
      </w:r>
    </w:p>
    <w:p>
      <w:pPr>
        <w:keepNext w:val="0"/>
        <w:spacing w:after="240"/>
        <w:jc w:val="center"/>
      </w:pPr>
      <w:r>
        <w:rPr>
          <w:b/>
        </w:rPr>
        <w:t>Figure 2. Monthly post volume by source.</w:t>
      </w:r>
      <w:r>
        <w:t xml:space="preserve"> Each bar represents one month. Its full height is the number of post-to-CVE links collected in that month, and each color shows how many came from one source. A taller bar means more records were collected. Changes in the colors show that the mix of sources also changed over time, so differences between months may partly reflect collection coverage.</w:t>
      </w:r>
    </w:p>
    <w:p>
      <w:pPr>
        <w:spacing w:before="240" w:after="120"/>
        <w:jc w:val="center"/>
      </w:pPr>
      <w:r>
        <w:drawing>
          <wp:inline xmlns:a="http://schemas.openxmlformats.org/drawingml/2006/main" xmlns:pic="http://schemas.openxmlformats.org/drawingml/2006/picture">
            <wp:extent cx="5623560" cy="2858487"/>
            <wp:docPr id="3" name="Picture 3"/>
            <wp:cNvGraphicFramePr>
              <a:graphicFrameLocks noChangeAspect="1"/>
            </wp:cNvGraphicFramePr>
            <a:graphic>
              <a:graphicData uri="http://schemas.openxmlformats.org/drawingml/2006/picture">
                <pic:pic>
                  <pic:nvPicPr>
                    <pic:cNvPr id="0" name="fig3_epss_by_cve_year.png"/>
                    <pic:cNvPicPr/>
                  </pic:nvPicPr>
                  <pic:blipFill>
                    <a:blip r:embed="rId12"/>
                    <a:stretch>
                      <a:fillRect/>
                    </a:stretch>
                  </pic:blipFill>
                  <pic:spPr>
                    <a:xfrm>
                      <a:off x="0" y="0"/>
                      <a:ext cx="5623560" cy="2858487"/>
                    </a:xfrm>
                    <a:prstGeom prst="rect"/>
                  </pic:spPr>
                </pic:pic>
              </a:graphicData>
            </a:graphic>
          </wp:inline>
        </w:drawing>
      </w:r>
    </w:p>
    <w:p>
      <w:pPr>
        <w:keepNext w:val="0"/>
        <w:spacing w:after="240"/>
        <w:jc w:val="center"/>
      </w:pPr>
      <w:r>
        <w:rPr>
          <w:b/>
        </w:rPr>
        <w:t>Figure 3. EPSS by CVE year.</w:t>
      </w:r>
      <w:r>
        <w:t xml:space="preserve"> The horizontal axis is the year written in the CVE identifier, not the year of the social-media post. The vertical axis shows the middle EPSS score for each CVE-year group. The scale is compressed so small values remain visible. Each n label is the number of unique CVEs in that group. Older CVE groups often have higher EPSS, which means CVE age must be considered when groups are compared.</w:t>
      </w:r>
    </w:p>
    <w:p>
      <w:pPr>
        <w:spacing w:before="240" w:after="120"/>
        <w:jc w:val="center"/>
      </w:pPr>
      <w:r>
        <w:drawing>
          <wp:inline xmlns:a="http://schemas.openxmlformats.org/drawingml/2006/main" xmlns:pic="http://schemas.openxmlformats.org/drawingml/2006/picture">
            <wp:extent cx="5623560" cy="3086654"/>
            <wp:docPr id="4" name="Picture 4"/>
            <wp:cNvGraphicFramePr>
              <a:graphicFrameLocks noChangeAspect="1"/>
            </wp:cNvGraphicFramePr>
            <a:graphic>
              <a:graphicData uri="http://schemas.openxmlformats.org/drawingml/2006/picture">
                <pic:pic>
                  <pic:nvPicPr>
                    <pic:cNvPr id="0" name="fig4_cvss_vs_epss.png"/>
                    <pic:cNvPicPr/>
                  </pic:nvPicPr>
                  <pic:blipFill>
                    <a:blip r:embed="rId13"/>
                    <a:stretch>
                      <a:fillRect/>
                    </a:stretch>
                  </pic:blipFill>
                  <pic:spPr>
                    <a:xfrm>
                      <a:off x="0" y="0"/>
                      <a:ext cx="5623560" cy="3086654"/>
                    </a:xfrm>
                    <a:prstGeom prst="rect"/>
                  </pic:spPr>
                </pic:pic>
              </a:graphicData>
            </a:graphic>
          </wp:inline>
        </w:drawing>
      </w:r>
    </w:p>
    <w:p>
      <w:pPr>
        <w:keepNext w:val="0"/>
        <w:spacing w:after="240"/>
        <w:jc w:val="center"/>
      </w:pPr>
      <w:r>
        <w:rPr>
          <w:b/>
        </w:rPr>
        <w:t>Figure 4. CVSS severity compared with EPSS.</w:t>
      </w:r>
      <w:r>
        <w:t xml:space="preserve"> The groups along the bottom are the CVSS severity levels Low, Medium, High, and Critical. Bar height is the middle EPSS score. Blue bars count every post-to-CVE link, so a CVE mentioned many times can influence the result repeatedly. Orange bars count each CVE once. The different patterns show that CVSS severity and predicted exploitation probability are related but are not the same thing.</w:t>
      </w:r>
    </w:p>
    <w:p>
      <w:pPr>
        <w:spacing w:before="240" w:after="120"/>
        <w:jc w:val="center"/>
      </w:pPr>
      <w:r>
        <w:drawing>
          <wp:inline xmlns:a="http://schemas.openxmlformats.org/drawingml/2006/main" xmlns:pic="http://schemas.openxmlformats.org/drawingml/2006/picture">
            <wp:extent cx="5623560" cy="2741736"/>
            <wp:docPr id="5" name="Picture 5"/>
            <wp:cNvGraphicFramePr>
              <a:graphicFrameLocks noChangeAspect="1"/>
            </wp:cNvGraphicFramePr>
            <a:graphic>
              <a:graphicData uri="http://schemas.openxmlformats.org/drawingml/2006/picture">
                <pic:pic>
                  <pic:nvPicPr>
                    <pic:cNvPr id="0" name="fig5_post_text_reuse.png"/>
                    <pic:cNvPicPr/>
                  </pic:nvPicPr>
                  <pic:blipFill>
                    <a:blip r:embed="rId14"/>
                    <a:stretch>
                      <a:fillRect/>
                    </a:stretch>
                  </pic:blipFill>
                  <pic:spPr>
                    <a:xfrm>
                      <a:off x="0" y="0"/>
                      <a:ext cx="5623560" cy="2741736"/>
                    </a:xfrm>
                    <a:prstGeom prst="rect"/>
                  </pic:spPr>
                </pic:pic>
              </a:graphicData>
            </a:graphic>
          </wp:inline>
        </w:drawing>
      </w:r>
    </w:p>
    <w:p>
      <w:pPr>
        <w:keepNext w:val="0"/>
        <w:spacing w:after="240"/>
        <w:jc w:val="center"/>
      </w:pPr>
      <w:r>
        <w:rPr>
          <w:b/>
        </w:rPr>
        <w:t>Figure 5. Reuse of post text across CVEs.</w:t>
      </w:r>
      <w:r>
        <w:t xml:space="preserve"> Each bar represents one source. Bar length is the percentage of its rows where the exact same post text was connected to more than one CVE. Such text is not CVE-specific because it may be a general article or copied page about several vulnerabilities. A high percentage means a text model could learn repeated page content instead of information about one particular CVE.</w:t>
      </w:r>
    </w:p>
    <w:p>
      <w:pPr>
        <w:spacing w:before="240" w:after="120"/>
        <w:jc w:val="center"/>
      </w:pPr>
      <w:r>
        <w:drawing>
          <wp:inline xmlns:a="http://schemas.openxmlformats.org/drawingml/2006/main" xmlns:pic="http://schemas.openxmlformats.org/drawingml/2006/picture">
            <wp:extent cx="5623560" cy="3521295"/>
            <wp:docPr id="6" name="Picture 6"/>
            <wp:cNvGraphicFramePr>
              <a:graphicFrameLocks noChangeAspect="1"/>
            </wp:cNvGraphicFramePr>
            <a:graphic>
              <a:graphicData uri="http://schemas.openxmlformats.org/drawingml/2006/picture">
                <pic:pic>
                  <pic:nvPicPr>
                    <pic:cNvPr id="0" name="fig6_epss_event_curve.png"/>
                    <pic:cNvPicPr/>
                  </pic:nvPicPr>
                  <pic:blipFill>
                    <a:blip r:embed="rId15"/>
                    <a:stretch>
                      <a:fillRect/>
                    </a:stretch>
                  </pic:blipFill>
                  <pic:spPr>
                    <a:xfrm>
                      <a:off x="0" y="0"/>
                      <a:ext cx="5623560" cy="3521295"/>
                    </a:xfrm>
                    <a:prstGeom prst="rect"/>
                  </pic:spPr>
                </pic:pic>
              </a:graphicData>
            </a:graphic>
          </wp:inline>
        </w:drawing>
      </w:r>
    </w:p>
    <w:p>
      <w:pPr>
        <w:keepNext w:val="0"/>
        <w:spacing w:after="240"/>
        <w:jc w:val="center"/>
      </w:pPr>
      <w:r>
        <w:rPr>
          <w:b/>
        </w:rPr>
        <w:t>Figure 6. EPSS around the first captured post.</w:t>
      </w:r>
      <w:r>
        <w:t xml:space="preserve"> Day 0 is the earliest post for a CVE captured in this dataset. Negative day numbers are before that captured post and positive numbers are after it. The blue line is the middle EPSS score, and the orange line is the average among CVEs with data on that day. The average is much higher than the middle value because a small number of high-EPSS CVEs pull it upward.</w:t>
      </w:r>
    </w:p>
    <w:p>
      <w:pPr>
        <w:spacing w:before="240" w:after="120"/>
        <w:jc w:val="center"/>
      </w:pPr>
      <w:r>
        <w:drawing>
          <wp:inline xmlns:a="http://schemas.openxmlformats.org/drawingml/2006/main" xmlns:pic="http://schemas.openxmlformats.org/drawingml/2006/picture">
            <wp:extent cx="5623560" cy="3521295"/>
            <wp:docPr id="7" name="Picture 7"/>
            <wp:cNvGraphicFramePr>
              <a:graphicFrameLocks noChangeAspect="1"/>
            </wp:cNvGraphicFramePr>
            <a:graphic>
              <a:graphicData uri="http://schemas.openxmlformats.org/drawingml/2006/picture">
                <pic:pic>
                  <pic:nvPicPr>
                    <pic:cNvPr id="0" name="fig7_epss_delta_boxplot.png"/>
                    <pic:cNvPicPr/>
                  </pic:nvPicPr>
                  <pic:blipFill>
                    <a:blip r:embed="rId16"/>
                    <a:stretch>
                      <a:fillRect/>
                    </a:stretch>
                  </pic:blipFill>
                  <pic:spPr>
                    <a:xfrm>
                      <a:off x="0" y="0"/>
                      <a:ext cx="5623560" cy="3521295"/>
                    </a:xfrm>
                    <a:prstGeom prst="rect"/>
                  </pic:spPr>
                </pic:pic>
              </a:graphicData>
            </a:graphic>
          </wp:inline>
        </w:drawing>
      </w:r>
    </w:p>
    <w:p>
      <w:pPr>
        <w:keepNext w:val="0"/>
        <w:spacing w:after="240"/>
        <w:jc w:val="center"/>
      </w:pPr>
      <w:r>
        <w:rPr>
          <w:b/>
        </w:rPr>
        <w:t>Figure 7. Distribution of EPSS changes.</w:t>
      </w:r>
      <w:r>
        <w:t xml:space="preserve"> This figure shows how much EPSS changed in several time windows. A value above 0 means EPSS increased; a value below 0 means it decreased. The line inside each box is the middle change, and the box contains the middle half of CVEs. The longer lines show the wider range. Most changes are small, but a smaller number of CVEs change much more.</w:t>
      </w:r>
    </w:p>
    <w:p>
      <w:pPr>
        <w:pStyle w:val="Heading1"/>
      </w:pPr>
      <w:r>
        <w:t>7. Data-Quality Findings</w:t>
      </w:r>
    </w:p>
    <w:tbl>
      <w:tblPr>
        <w:tblStyle w:val="TableGrid"/>
        <w:tblW w:type="auto" w:w="0"/>
        <w:tblLayout w:type="autofit"/>
        <w:tblLook w:firstColumn="1" w:firstRow="1" w:lastColumn="0" w:lastRow="0" w:noHBand="0" w:noVBand="1" w:val="04A0"/>
      </w:tblPr>
      <w:tblGrid>
        <w:gridCol w:w="1644"/>
        <w:gridCol w:w="1644"/>
        <w:gridCol w:w="1644"/>
        <w:gridCol w:w="1644"/>
        <w:gridCol w:w="1644"/>
        <w:gridCol w:w="1644"/>
      </w:tblGrid>
      <w:tr>
        <w:trPr>
          <w:tblHeader w:val="true"/>
          <w:cantSplit w:val="true"/>
        </w:trPr>
        <w:tc>
          <w:tcPr>
            <w:tcW w:type="dxa" w:w="1644"/>
            <w:vAlign w:val="center"/>
            <w:shd w:fill="D9E6F5"/>
          </w:tcPr>
          <w:p>
            <w:pPr>
              <w:spacing w:after="0"/>
            </w:pPr>
            <w:r/>
            <w:r>
              <w:rPr>
                <w:rFonts w:ascii="Arial" w:hAnsi="Arial"/>
                <w:b/>
                <w:sz w:val="15"/>
              </w:rPr>
              <w:t>Scope</w:t>
            </w:r>
          </w:p>
        </w:tc>
        <w:tc>
          <w:tcPr>
            <w:tcW w:type="dxa" w:w="1644"/>
            <w:vAlign w:val="center"/>
            <w:shd w:fill="D9E6F5"/>
          </w:tcPr>
          <w:p>
            <w:pPr>
              <w:spacing w:after="0"/>
            </w:pPr>
            <w:r/>
            <w:r>
              <w:rPr>
                <w:rFonts w:ascii="Arial" w:hAnsi="Arial"/>
                <w:b/>
                <w:sz w:val="15"/>
              </w:rPr>
              <w:t>Field or field group</w:t>
            </w:r>
          </w:p>
        </w:tc>
        <w:tc>
          <w:tcPr>
            <w:tcW w:type="dxa" w:w="1644"/>
            <w:vAlign w:val="center"/>
            <w:shd w:fill="D9E6F5"/>
          </w:tcPr>
          <w:p>
            <w:pPr>
              <w:spacing w:after="0"/>
            </w:pPr>
            <w:r/>
            <w:r>
              <w:rPr>
                <w:rFonts w:ascii="Arial" w:hAnsi="Arial"/>
                <w:b/>
                <w:sz w:val="15"/>
              </w:rPr>
              <w:t>Rows checked</w:t>
            </w:r>
          </w:p>
        </w:tc>
        <w:tc>
          <w:tcPr>
            <w:tcW w:type="dxa" w:w="1644"/>
            <w:vAlign w:val="center"/>
            <w:shd w:fill="D9E6F5"/>
          </w:tcPr>
          <w:p>
            <w:pPr>
              <w:spacing w:after="0"/>
            </w:pPr>
            <w:r/>
            <w:r>
              <w:rPr>
                <w:rFonts w:ascii="Arial" w:hAnsi="Arial"/>
                <w:b/>
                <w:sz w:val="15"/>
              </w:rPr>
              <w:t>Rows with missing value</w:t>
            </w:r>
          </w:p>
        </w:tc>
        <w:tc>
          <w:tcPr>
            <w:tcW w:type="dxa" w:w="1644"/>
            <w:vAlign w:val="center"/>
            <w:shd w:fill="D9E6F5"/>
          </w:tcPr>
          <w:p>
            <w:pPr>
              <w:spacing w:after="0"/>
            </w:pPr>
            <w:r/>
            <w:r>
              <w:rPr>
                <w:rFonts w:ascii="Arial" w:hAnsi="Arial"/>
                <w:b/>
                <w:sz w:val="15"/>
              </w:rPr>
              <w:t>Missing (%)</w:t>
            </w:r>
          </w:p>
        </w:tc>
        <w:tc>
          <w:tcPr>
            <w:tcW w:type="dxa" w:w="1644"/>
            <w:vAlign w:val="center"/>
            <w:shd w:fill="D9E6F5"/>
          </w:tcPr>
          <w:p>
            <w:pPr>
              <w:spacing w:after="0"/>
            </w:pPr>
            <w:r/>
            <w:r>
              <w:rPr>
                <w:rFonts w:ascii="Arial" w:hAnsi="Arial"/>
                <w:b/>
                <w:sz w:val="15"/>
              </w:rPr>
              <w:t>Meaning</w:t>
            </w:r>
          </w:p>
        </w:tc>
      </w:tr>
      <w:tr>
        <w:trPr>
          <w:cantSplit w:val="true"/>
        </w:trPr>
        <w:tc>
          <w:tcPr>
            <w:tcW w:type="dxa" w:w="1644"/>
            <w:vAlign w:val="center"/>
          </w:tcPr>
          <w:p>
            <w:pPr>
              <w:spacing w:after="0"/>
            </w:pPr>
            <w:r/>
            <w:r>
              <w:rPr>
                <w:rFonts w:ascii="Arial" w:hAnsi="Arial"/>
                <w:b w:val="0"/>
                <w:sz w:val="15"/>
              </w:rPr>
              <w:t>Each model file</w:t>
            </w:r>
          </w:p>
        </w:tc>
        <w:tc>
          <w:tcPr>
            <w:tcW w:type="dxa" w:w="1644"/>
            <w:vAlign w:val="center"/>
          </w:tcPr>
          <w:p>
            <w:pPr>
              <w:spacing w:after="0"/>
            </w:pPr>
            <w:r/>
            <w:r>
              <w:rPr>
                <w:rFonts w:ascii="Arial" w:hAnsi="Arial"/>
                <w:b w:val="0"/>
                <w:sz w:val="15"/>
              </w:rPr>
              <w:t>social_media_post</w:t>
            </w:r>
          </w:p>
        </w:tc>
        <w:tc>
          <w:tcPr>
            <w:tcW w:type="dxa" w:w="1644"/>
            <w:vAlign w:val="center"/>
          </w:tcPr>
          <w:p>
            <w:pPr>
              <w:spacing w:after="0"/>
            </w:pPr>
            <w:r/>
            <w:r>
              <w:rPr>
                <w:rFonts w:ascii="Arial" w:hAnsi="Arial"/>
                <w:b w:val="0"/>
                <w:sz w:val="15"/>
              </w:rPr>
              <w:t>9218</w:t>
            </w:r>
          </w:p>
        </w:tc>
        <w:tc>
          <w:tcPr>
            <w:tcW w:type="dxa" w:w="1644"/>
            <w:vAlign w:val="center"/>
          </w:tcPr>
          <w:p>
            <w:pPr>
              <w:spacing w:after="0"/>
            </w:pPr>
            <w:r/>
            <w:r>
              <w:rPr>
                <w:rFonts w:ascii="Arial" w:hAnsi="Arial"/>
                <w:b w:val="0"/>
                <w:sz w:val="15"/>
              </w:rPr>
              <w:t>5</w:t>
            </w:r>
          </w:p>
        </w:tc>
        <w:tc>
          <w:tcPr>
            <w:tcW w:type="dxa" w:w="1644"/>
            <w:vAlign w:val="center"/>
          </w:tcPr>
          <w:p>
            <w:pPr>
              <w:spacing w:after="0"/>
            </w:pPr>
            <w:r/>
            <w:r>
              <w:rPr>
                <w:rFonts w:ascii="Arial" w:hAnsi="Arial"/>
                <w:b w:val="0"/>
                <w:sz w:val="15"/>
              </w:rPr>
              <w:t>0.05</w:t>
            </w:r>
          </w:p>
        </w:tc>
        <w:tc>
          <w:tcPr>
            <w:tcW w:type="dxa" w:w="1644"/>
            <w:vAlign w:val="center"/>
          </w:tcPr>
          <w:p>
            <w:pPr>
              <w:spacing w:after="0"/>
            </w:pPr>
            <w:r/>
            <w:r>
              <w:rPr>
                <w:rFonts w:ascii="Arial" w:hAnsi="Arial"/>
                <w:b w:val="0"/>
                <w:sz w:val="15"/>
              </w:rPr>
              <w:t>Five absent posts occur outside the analysis population; all analyzed rows contain post text.</w:t>
            </w:r>
          </w:p>
        </w:tc>
      </w:tr>
      <w:tr>
        <w:trPr>
          <w:cantSplit w:val="true"/>
        </w:trPr>
        <w:tc>
          <w:tcPr>
            <w:tcW w:type="dxa" w:w="1644"/>
            <w:vAlign w:val="center"/>
          </w:tcPr>
          <w:p>
            <w:pPr>
              <w:spacing w:after="0"/>
            </w:pPr>
            <w:r/>
            <w:r>
              <w:rPr>
                <w:rFonts w:ascii="Arial" w:hAnsi="Arial"/>
                <w:b w:val="0"/>
                <w:sz w:val="15"/>
              </w:rPr>
              <w:t>Each model file</w:t>
            </w:r>
          </w:p>
        </w:tc>
        <w:tc>
          <w:tcPr>
            <w:tcW w:type="dxa" w:w="1644"/>
            <w:vAlign w:val="center"/>
          </w:tcPr>
          <w:p>
            <w:pPr>
              <w:spacing w:after="0"/>
            </w:pPr>
            <w:r/>
            <w:r>
              <w:rPr>
                <w:rFonts w:ascii="Arial" w:hAnsi="Arial"/>
                <w:b w:val="0"/>
                <w:sz w:val="15"/>
              </w:rPr>
              <w:t>days_since_latest_git_source</w:t>
            </w:r>
          </w:p>
        </w:tc>
        <w:tc>
          <w:tcPr>
            <w:tcW w:type="dxa" w:w="1644"/>
            <w:vAlign w:val="center"/>
          </w:tcPr>
          <w:p>
            <w:pPr>
              <w:spacing w:after="0"/>
            </w:pPr>
            <w:r/>
            <w:r>
              <w:rPr>
                <w:rFonts w:ascii="Arial" w:hAnsi="Arial"/>
                <w:b w:val="0"/>
                <w:sz w:val="15"/>
              </w:rPr>
              <w:t>9218</w:t>
            </w:r>
          </w:p>
        </w:tc>
        <w:tc>
          <w:tcPr>
            <w:tcW w:type="dxa" w:w="1644"/>
            <w:vAlign w:val="center"/>
          </w:tcPr>
          <w:p>
            <w:pPr>
              <w:spacing w:after="0"/>
            </w:pPr>
            <w:r/>
            <w:r>
              <w:rPr>
                <w:rFonts w:ascii="Arial" w:hAnsi="Arial"/>
                <w:b w:val="0"/>
                <w:sz w:val="15"/>
              </w:rPr>
              <w:t>7323</w:t>
            </w:r>
          </w:p>
        </w:tc>
        <w:tc>
          <w:tcPr>
            <w:tcW w:type="dxa" w:w="1644"/>
            <w:vAlign w:val="center"/>
          </w:tcPr>
          <w:p>
            <w:pPr>
              <w:spacing w:after="0"/>
            </w:pPr>
            <w:r/>
            <w:r>
              <w:rPr>
                <w:rFonts w:ascii="Arial" w:hAnsi="Arial"/>
                <w:b w:val="0"/>
                <w:sz w:val="15"/>
              </w:rPr>
              <w:t>79.44</w:t>
            </w:r>
          </w:p>
        </w:tc>
        <w:tc>
          <w:tcPr>
            <w:tcW w:type="dxa" w:w="1644"/>
            <w:vAlign w:val="center"/>
          </w:tcPr>
          <w:p>
            <w:pPr>
              <w:spacing w:after="0"/>
            </w:pPr>
            <w:r/>
            <w:r>
              <w:rPr>
                <w:rFonts w:ascii="Arial" w:hAnsi="Arial"/>
                <w:b w:val="0"/>
                <w:sz w:val="15"/>
              </w:rPr>
              <w:t>Present only when dated Git evidence is available.</w:t>
            </w:r>
          </w:p>
        </w:tc>
      </w:tr>
      <w:tr>
        <w:trPr>
          <w:cantSplit w:val="true"/>
        </w:trPr>
        <w:tc>
          <w:tcPr>
            <w:tcW w:type="dxa" w:w="1644"/>
            <w:vAlign w:val="center"/>
          </w:tcPr>
          <w:p>
            <w:pPr>
              <w:spacing w:after="0"/>
            </w:pPr>
            <w:r/>
            <w:r>
              <w:rPr>
                <w:rFonts w:ascii="Arial" w:hAnsi="Arial"/>
                <w:b w:val="0"/>
                <w:sz w:val="15"/>
              </w:rPr>
              <w:t>Each model file</w:t>
            </w:r>
          </w:p>
        </w:tc>
        <w:tc>
          <w:tcPr>
            <w:tcW w:type="dxa" w:w="1644"/>
            <w:vAlign w:val="center"/>
          </w:tcPr>
          <w:p>
            <w:pPr>
              <w:spacing w:after="0"/>
            </w:pPr>
            <w:r/>
            <w:r>
              <w:rPr>
                <w:rFonts w:ascii="Arial" w:hAnsi="Arial"/>
                <w:b w:val="0"/>
                <w:sz w:val="15"/>
              </w:rPr>
              <w:t>days_since_oldest_git_source</w:t>
            </w:r>
          </w:p>
        </w:tc>
        <w:tc>
          <w:tcPr>
            <w:tcW w:type="dxa" w:w="1644"/>
            <w:vAlign w:val="center"/>
          </w:tcPr>
          <w:p>
            <w:pPr>
              <w:spacing w:after="0"/>
            </w:pPr>
            <w:r/>
            <w:r>
              <w:rPr>
                <w:rFonts w:ascii="Arial" w:hAnsi="Arial"/>
                <w:b w:val="0"/>
                <w:sz w:val="15"/>
              </w:rPr>
              <w:t>9218</w:t>
            </w:r>
          </w:p>
        </w:tc>
        <w:tc>
          <w:tcPr>
            <w:tcW w:type="dxa" w:w="1644"/>
            <w:vAlign w:val="center"/>
          </w:tcPr>
          <w:p>
            <w:pPr>
              <w:spacing w:after="0"/>
            </w:pPr>
            <w:r/>
            <w:r>
              <w:rPr>
                <w:rFonts w:ascii="Arial" w:hAnsi="Arial"/>
                <w:b w:val="0"/>
                <w:sz w:val="15"/>
              </w:rPr>
              <w:t>7323</w:t>
            </w:r>
          </w:p>
        </w:tc>
        <w:tc>
          <w:tcPr>
            <w:tcW w:type="dxa" w:w="1644"/>
            <w:vAlign w:val="center"/>
          </w:tcPr>
          <w:p>
            <w:pPr>
              <w:spacing w:after="0"/>
            </w:pPr>
            <w:r/>
            <w:r>
              <w:rPr>
                <w:rFonts w:ascii="Arial" w:hAnsi="Arial"/>
                <w:b w:val="0"/>
                <w:sz w:val="15"/>
              </w:rPr>
              <w:t>79.44</w:t>
            </w:r>
          </w:p>
        </w:tc>
        <w:tc>
          <w:tcPr>
            <w:tcW w:type="dxa" w:w="1644"/>
            <w:vAlign w:val="center"/>
          </w:tcPr>
          <w:p>
            <w:pPr>
              <w:spacing w:after="0"/>
            </w:pPr>
            <w:r/>
            <w:r>
              <w:rPr>
                <w:rFonts w:ascii="Arial" w:hAnsi="Arial"/>
                <w:b w:val="0"/>
                <w:sz w:val="15"/>
              </w:rPr>
              <w:t>Present only when dated Git evidence is available.</w:t>
            </w:r>
          </w:p>
        </w:tc>
      </w:tr>
      <w:tr>
        <w:trPr>
          <w:cantSplit w:val="true"/>
        </w:trPr>
        <w:tc>
          <w:tcPr>
            <w:tcW w:type="dxa" w:w="1644"/>
            <w:vAlign w:val="center"/>
          </w:tcPr>
          <w:p>
            <w:pPr>
              <w:spacing w:after="0"/>
            </w:pPr>
            <w:r/>
            <w:r>
              <w:rPr>
                <w:rFonts w:ascii="Arial" w:hAnsi="Arial"/>
                <w:b w:val="0"/>
                <w:sz w:val="15"/>
              </w:rPr>
              <w:t>Each model file</w:t>
            </w:r>
          </w:p>
        </w:tc>
        <w:tc>
          <w:tcPr>
            <w:tcW w:type="dxa" w:w="1644"/>
            <w:vAlign w:val="center"/>
          </w:tcPr>
          <w:p>
            <w:pPr>
              <w:spacing w:after="0"/>
            </w:pPr>
            <w:r/>
            <w:r>
              <w:rPr>
                <w:rFonts w:ascii="Arial" w:hAnsi="Arial"/>
                <w:b w:val="0"/>
                <w:sz w:val="15"/>
              </w:rPr>
              <w:t>source_links</w:t>
            </w:r>
          </w:p>
        </w:tc>
        <w:tc>
          <w:tcPr>
            <w:tcW w:type="dxa" w:w="1644"/>
            <w:vAlign w:val="center"/>
          </w:tcPr>
          <w:p>
            <w:pPr>
              <w:spacing w:after="0"/>
            </w:pPr>
            <w:r/>
            <w:r>
              <w:rPr>
                <w:rFonts w:ascii="Arial" w:hAnsi="Arial"/>
                <w:b w:val="0"/>
                <w:sz w:val="15"/>
              </w:rPr>
              <w:t>9218</w:t>
            </w:r>
          </w:p>
        </w:tc>
        <w:tc>
          <w:tcPr>
            <w:tcW w:type="dxa" w:w="1644"/>
            <w:vAlign w:val="center"/>
          </w:tcPr>
          <w:p>
            <w:pPr>
              <w:spacing w:after="0"/>
            </w:pPr>
            <w:r/>
            <w:r>
              <w:rPr>
                <w:rFonts w:ascii="Arial" w:hAnsi="Arial"/>
                <w:b w:val="0"/>
                <w:sz w:val="15"/>
              </w:rPr>
              <w:t>1582</w:t>
            </w:r>
          </w:p>
        </w:tc>
        <w:tc>
          <w:tcPr>
            <w:tcW w:type="dxa" w:w="1644"/>
            <w:vAlign w:val="center"/>
          </w:tcPr>
          <w:p>
            <w:pPr>
              <w:spacing w:after="0"/>
            </w:pPr>
            <w:r/>
            <w:r>
              <w:rPr>
                <w:rFonts w:ascii="Arial" w:hAnsi="Arial"/>
                <w:b w:val="0"/>
                <w:sz w:val="15"/>
              </w:rPr>
              <w:t>17.16</w:t>
            </w:r>
          </w:p>
        </w:tc>
        <w:tc>
          <w:tcPr>
            <w:tcW w:type="dxa" w:w="1644"/>
            <w:vAlign w:val="center"/>
          </w:tcPr>
          <w:p>
            <w:pPr>
              <w:spacing w:after="0"/>
            </w:pPr>
            <w:r/>
            <w:r>
              <w:rPr>
                <w:rFonts w:ascii="Arial" w:hAnsi="Arial"/>
                <w:b w:val="0"/>
                <w:sz w:val="15"/>
              </w:rPr>
              <w:t>Absence exactly agrees with sources_available=False.</w:t>
            </w:r>
          </w:p>
        </w:tc>
      </w:tr>
      <w:tr>
        <w:trPr>
          <w:cantSplit w:val="true"/>
        </w:trPr>
        <w:tc>
          <w:tcPr>
            <w:tcW w:type="dxa" w:w="1644"/>
            <w:vAlign w:val="center"/>
          </w:tcPr>
          <w:p>
            <w:pPr>
              <w:spacing w:after="0"/>
            </w:pPr>
            <w:r/>
            <w:r>
              <w:rPr>
                <w:rFonts w:ascii="Arial" w:hAnsi="Arial"/>
                <w:b w:val="0"/>
                <w:sz w:val="15"/>
              </w:rPr>
              <w:t>Each model file</w:t>
            </w:r>
          </w:p>
        </w:tc>
        <w:tc>
          <w:tcPr>
            <w:tcW w:type="dxa" w:w="1644"/>
            <w:vAlign w:val="center"/>
          </w:tcPr>
          <w:p>
            <w:pPr>
              <w:spacing w:after="0"/>
            </w:pPr>
            <w:r/>
            <w:r>
              <w:rPr>
                <w:rFonts w:ascii="Arial" w:hAnsi="Arial"/>
                <w:b w:val="0"/>
                <w:sz w:val="15"/>
              </w:rPr>
              <w:t>github_urls</w:t>
            </w:r>
          </w:p>
        </w:tc>
        <w:tc>
          <w:tcPr>
            <w:tcW w:type="dxa" w:w="1644"/>
            <w:vAlign w:val="center"/>
          </w:tcPr>
          <w:p>
            <w:pPr>
              <w:spacing w:after="0"/>
            </w:pPr>
            <w:r/>
            <w:r>
              <w:rPr>
                <w:rFonts w:ascii="Arial" w:hAnsi="Arial"/>
                <w:b w:val="0"/>
                <w:sz w:val="15"/>
              </w:rPr>
              <w:t>9218</w:t>
            </w:r>
          </w:p>
        </w:tc>
        <w:tc>
          <w:tcPr>
            <w:tcW w:type="dxa" w:w="1644"/>
            <w:vAlign w:val="center"/>
          </w:tcPr>
          <w:p>
            <w:pPr>
              <w:spacing w:after="0"/>
            </w:pPr>
            <w:r/>
            <w:r>
              <w:rPr>
                <w:rFonts w:ascii="Arial" w:hAnsi="Arial"/>
                <w:b w:val="0"/>
                <w:sz w:val="15"/>
              </w:rPr>
              <w:t>6879</w:t>
            </w:r>
          </w:p>
        </w:tc>
        <w:tc>
          <w:tcPr>
            <w:tcW w:type="dxa" w:w="1644"/>
            <w:vAlign w:val="center"/>
          </w:tcPr>
          <w:p>
            <w:pPr>
              <w:spacing w:after="0"/>
            </w:pPr>
            <w:r/>
            <w:r>
              <w:rPr>
                <w:rFonts w:ascii="Arial" w:hAnsi="Arial"/>
                <w:b w:val="0"/>
                <w:sz w:val="15"/>
              </w:rPr>
              <w:t>74.63</w:t>
            </w:r>
          </w:p>
        </w:tc>
        <w:tc>
          <w:tcPr>
            <w:tcW w:type="dxa" w:w="1644"/>
            <w:vAlign w:val="center"/>
          </w:tcPr>
          <w:p>
            <w:pPr>
              <w:spacing w:after="0"/>
            </w:pPr>
            <w:r/>
            <w:r>
              <w:rPr>
                <w:rFonts w:ascii="Arial" w:hAnsi="Arial"/>
                <w:b w:val="0"/>
                <w:sz w:val="15"/>
              </w:rPr>
              <w:t>Optional evidence; most rows do not contain a GitHub URL.</w:t>
            </w:r>
          </w:p>
        </w:tc>
      </w:tr>
      <w:tr>
        <w:trPr>
          <w:cantSplit w:val="true"/>
        </w:trPr>
        <w:tc>
          <w:tcPr>
            <w:tcW w:type="dxa" w:w="1644"/>
            <w:vAlign w:val="center"/>
          </w:tcPr>
          <w:p>
            <w:pPr>
              <w:spacing w:after="0"/>
            </w:pPr>
            <w:r/>
            <w:r>
              <w:rPr>
                <w:rFonts w:ascii="Arial" w:hAnsi="Arial"/>
                <w:b w:val="0"/>
                <w:sz w:val="15"/>
              </w:rPr>
              <w:t>Analysis population</w:t>
            </w:r>
          </w:p>
        </w:tc>
        <w:tc>
          <w:tcPr>
            <w:tcW w:type="dxa" w:w="1644"/>
            <w:vAlign w:val="center"/>
          </w:tcPr>
          <w:p>
            <w:pPr>
              <w:spacing w:after="0"/>
            </w:pPr>
            <w:r/>
            <w:r>
              <w:rPr>
                <w:rFonts w:ascii="Arial" w:hAnsi="Arial"/>
                <w:b w:val="0"/>
                <w:sz w:val="15"/>
              </w:rPr>
              <w:t>21 required core fields</w:t>
            </w:r>
          </w:p>
        </w:tc>
        <w:tc>
          <w:tcPr>
            <w:tcW w:type="dxa" w:w="1644"/>
            <w:vAlign w:val="center"/>
          </w:tcPr>
          <w:p>
            <w:pPr>
              <w:spacing w:after="0"/>
            </w:pPr>
            <w:r/>
            <w:r>
              <w:rPr>
                <w:rFonts w:ascii="Arial" w:hAnsi="Arial"/>
                <w:b w:val="0"/>
                <w:sz w:val="15"/>
              </w:rPr>
              <w:t>6628</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No analyzed row is missing its CVE, date, post text, EPSS, CVSS, or core metadata.</w:t>
            </w:r>
          </w:p>
        </w:tc>
      </w:tr>
    </w:tbl>
    <w:p>
      <w:pPr>
        <w:spacing w:after="40"/>
      </w:pPr>
    </w:p>
    <w:p>
      <w:pPr>
        <w:spacing w:after="180"/>
      </w:pPr>
      <w:r>
        <w:rPr>
          <w:b/>
        </w:rPr>
        <w:t>Table notes:</w:t>
      </w:r>
      <w:r>
        <w:t xml:space="preserve"> “Rows checked” is the number examined, and “rows with missing value” is how many have a blank in that field. Some blanks are expected because a post may have no external link or GitHub evidence. The final row checks the 21 fields required for the analysis together. None of the 6,628 analyzed rows is missing its CVE, date, original post text, EPSS, CVSS, or other required metadata.</w:t>
      </w:r>
    </w:p>
    <w:p>
      <w:r>
        <w:t>The most important issue for text modeling is repeated content. In the analysis population, 387 exact texts are linked to more than one CVE, affecting 2,191 rows, or 33.1% of the analyzed rows. HackerNews is particularly unusual because many records are full-page captures rather than individual comments. These patterns can make a model learn templates or page structure instead of CVE-specific evidence.</w:t>
      </w:r>
    </w:p>
    <w:p>
      <w:r>
        <w:t>CVE age is another major concern. Older vulnerabilities have had more time to accumulate exploit evidence and often have higher EPSS. This can make a source appear more predictive simply because it discusses older CVEs. CVSS and EPSS also answer different questions: CVSS describes technical impact, while EPSS estimates exploitation likelihood.</w:t>
      </w:r>
    </w:p>
    <w:p>
      <w:pPr>
        <w:pStyle w:val="Heading1"/>
      </w:pPr>
      <w:r>
        <w:t>8. LLM Summary Variants</w:t>
      </w:r>
    </w:p>
    <w:tbl>
      <w:tblPr>
        <w:tblStyle w:val="TableGrid"/>
        <w:tblW w:type="auto" w:w="0"/>
        <w:tblLayout w:type="autofit"/>
        <w:tblLook w:firstColumn="1" w:firstRow="1" w:lastColumn="0" w:lastRow="0" w:noHBand="0" w:noVBand="1" w:val="04A0"/>
      </w:tblPr>
      <w:tblGrid>
        <w:gridCol w:w="1409"/>
        <w:gridCol w:w="1409"/>
        <w:gridCol w:w="1409"/>
        <w:gridCol w:w="1409"/>
        <w:gridCol w:w="1409"/>
        <w:gridCol w:w="1409"/>
        <w:gridCol w:w="1409"/>
      </w:tblGrid>
      <w:tr>
        <w:trPr>
          <w:tblHeader w:val="true"/>
          <w:cantSplit w:val="true"/>
        </w:trPr>
        <w:tc>
          <w:tcPr>
            <w:tcW w:type="dxa" w:w="1409"/>
            <w:vAlign w:val="center"/>
            <w:shd w:fill="D9E6F5"/>
          </w:tcPr>
          <w:p>
            <w:pPr>
              <w:spacing w:after="0"/>
            </w:pPr>
            <w:r/>
            <w:r>
              <w:rPr>
                <w:rFonts w:ascii="Arial" w:hAnsi="Arial"/>
                <w:b/>
                <w:sz w:val="14"/>
              </w:rPr>
              <w:t>Model</w:t>
            </w:r>
          </w:p>
        </w:tc>
        <w:tc>
          <w:tcPr>
            <w:tcW w:type="dxa" w:w="1409"/>
            <w:vAlign w:val="center"/>
            <w:shd w:fill="D9E6F5"/>
          </w:tcPr>
          <w:p>
            <w:pPr>
              <w:spacing w:after="0"/>
            </w:pPr>
            <w:r/>
            <w:r>
              <w:rPr>
                <w:rFonts w:ascii="Arial" w:hAnsi="Arial"/>
                <w:b/>
                <w:sz w:val="14"/>
              </w:rPr>
              <w:t>Summary field</w:t>
            </w:r>
          </w:p>
        </w:tc>
        <w:tc>
          <w:tcPr>
            <w:tcW w:type="dxa" w:w="1409"/>
            <w:vAlign w:val="center"/>
            <w:shd w:fill="D9E6F5"/>
          </w:tcPr>
          <w:p>
            <w:pPr>
              <w:spacing w:after="0"/>
            </w:pPr>
            <w:r/>
            <w:r>
              <w:rPr>
                <w:rFonts w:ascii="Arial" w:hAnsi="Arial"/>
                <w:b/>
                <w:sz w:val="14"/>
              </w:rPr>
              <w:t>Available summaries</w:t>
            </w:r>
          </w:p>
        </w:tc>
        <w:tc>
          <w:tcPr>
            <w:tcW w:type="dxa" w:w="1409"/>
            <w:vAlign w:val="center"/>
            <w:shd w:fill="D9E6F5"/>
          </w:tcPr>
          <w:p>
            <w:pPr>
              <w:spacing w:after="0"/>
            </w:pPr>
            <w:r/>
            <w:r>
              <w:rPr>
                <w:rFonts w:ascii="Arial" w:hAnsi="Arial"/>
                <w:b/>
                <w:sz w:val="14"/>
              </w:rPr>
              <w:t>Missing (%)</w:t>
            </w:r>
          </w:p>
        </w:tc>
        <w:tc>
          <w:tcPr>
            <w:tcW w:type="dxa" w:w="1409"/>
            <w:vAlign w:val="center"/>
            <w:shd w:fill="D9E6F5"/>
          </w:tcPr>
          <w:p>
            <w:pPr>
              <w:spacing w:after="0"/>
            </w:pPr>
            <w:r/>
            <w:r>
              <w:rPr>
                <w:rFonts w:ascii="Arial" w:hAnsi="Arial"/>
                <w:b/>
                <w:sz w:val="14"/>
              </w:rPr>
              <w:t>Median words</w:t>
            </w:r>
          </w:p>
        </w:tc>
        <w:tc>
          <w:tcPr>
            <w:tcW w:type="dxa" w:w="1409"/>
            <w:vAlign w:val="center"/>
            <w:shd w:fill="D9E6F5"/>
          </w:tcPr>
          <w:p>
            <w:pPr>
              <w:spacing w:after="0"/>
            </w:pPr>
            <w:r/>
            <w:r>
              <w:rPr>
                <w:rFonts w:ascii="Arial" w:hAnsi="Arial"/>
                <w:b/>
                <w:sz w:val="14"/>
              </w:rPr>
              <w:t>90th-percentile words</w:t>
            </w:r>
          </w:p>
        </w:tc>
        <w:tc>
          <w:tcPr>
            <w:tcW w:type="dxa" w:w="1409"/>
            <w:vAlign w:val="center"/>
            <w:shd w:fill="D9E6F5"/>
          </w:tcPr>
          <w:p>
            <w:pPr>
              <w:spacing w:after="0"/>
            </w:pPr>
            <w:r/>
            <w:r>
              <w:rPr>
                <w:rFonts w:ascii="Arial" w:hAnsi="Arial"/>
                <w:b/>
                <w:sz w:val="14"/>
              </w:rPr>
              <w:t>Maximum words</w:t>
            </w:r>
          </w:p>
        </w:tc>
      </w:tr>
      <w:tr>
        <w:trPr>
          <w:cantSplit w:val="true"/>
        </w:trPr>
        <w:tc>
          <w:tcPr>
            <w:tcW w:type="dxa" w:w="1409"/>
            <w:vAlign w:val="center"/>
          </w:tcPr>
          <w:p>
            <w:pPr>
              <w:spacing w:after="0"/>
            </w:pPr>
            <w:r/>
            <w:r>
              <w:rPr>
                <w:rFonts w:ascii="Arial" w:hAnsi="Arial"/>
                <w:b w:val="0"/>
                <w:sz w:val="14"/>
              </w:rPr>
              <w:t>gemma</w:t>
            </w:r>
          </w:p>
        </w:tc>
        <w:tc>
          <w:tcPr>
            <w:tcW w:type="dxa" w:w="1409"/>
            <w:vAlign w:val="center"/>
          </w:tcPr>
          <w:p>
            <w:pPr>
              <w:spacing w:after="0"/>
            </w:pPr>
            <w:r/>
            <w:r>
              <w:rPr>
                <w:rFonts w:ascii="Arial" w:hAnsi="Arial"/>
                <w:b w:val="0"/>
                <w:sz w:val="14"/>
              </w:rPr>
              <w:t>External-source summary</w:t>
            </w:r>
          </w:p>
        </w:tc>
        <w:tc>
          <w:tcPr>
            <w:tcW w:type="dxa" w:w="1409"/>
            <w:vAlign w:val="center"/>
          </w:tcPr>
          <w:p>
            <w:pPr>
              <w:spacing w:after="0"/>
            </w:pPr>
            <w:r/>
            <w:r>
              <w:rPr>
                <w:rFonts w:ascii="Arial" w:hAnsi="Arial"/>
                <w:b w:val="0"/>
                <w:sz w:val="14"/>
              </w:rPr>
              <w:t>7636</w:t>
            </w:r>
          </w:p>
        </w:tc>
        <w:tc>
          <w:tcPr>
            <w:tcW w:type="dxa" w:w="1409"/>
            <w:vAlign w:val="center"/>
          </w:tcPr>
          <w:p>
            <w:pPr>
              <w:spacing w:after="0"/>
            </w:pPr>
            <w:r/>
            <w:r>
              <w:rPr>
                <w:rFonts w:ascii="Arial" w:hAnsi="Arial"/>
                <w:b w:val="0"/>
                <w:sz w:val="14"/>
              </w:rPr>
              <w:t>17.16</w:t>
            </w:r>
          </w:p>
        </w:tc>
        <w:tc>
          <w:tcPr>
            <w:tcW w:type="dxa" w:w="1409"/>
            <w:vAlign w:val="center"/>
          </w:tcPr>
          <w:p>
            <w:pPr>
              <w:spacing w:after="0"/>
            </w:pPr>
            <w:r/>
            <w:r>
              <w:rPr>
                <w:rFonts w:ascii="Arial" w:hAnsi="Arial"/>
                <w:b w:val="0"/>
                <w:sz w:val="14"/>
              </w:rPr>
              <w:t>81</w:t>
            </w:r>
          </w:p>
        </w:tc>
        <w:tc>
          <w:tcPr>
            <w:tcW w:type="dxa" w:w="1409"/>
            <w:vAlign w:val="center"/>
          </w:tcPr>
          <w:p>
            <w:pPr>
              <w:spacing w:after="0"/>
            </w:pPr>
            <w:r/>
            <w:r>
              <w:rPr>
                <w:rFonts w:ascii="Arial" w:hAnsi="Arial"/>
                <w:b w:val="0"/>
                <w:sz w:val="14"/>
              </w:rPr>
              <w:t>136.5</w:t>
            </w:r>
          </w:p>
        </w:tc>
        <w:tc>
          <w:tcPr>
            <w:tcW w:type="dxa" w:w="1409"/>
            <w:vAlign w:val="center"/>
          </w:tcPr>
          <w:p>
            <w:pPr>
              <w:spacing w:after="0"/>
            </w:pPr>
            <w:r/>
            <w:r>
              <w:rPr>
                <w:rFonts w:ascii="Arial" w:hAnsi="Arial"/>
                <w:b w:val="0"/>
                <w:sz w:val="14"/>
              </w:rPr>
              <w:t>343</w:t>
            </w:r>
          </w:p>
        </w:tc>
      </w:tr>
      <w:tr>
        <w:trPr>
          <w:cantSplit w:val="true"/>
        </w:trPr>
        <w:tc>
          <w:tcPr>
            <w:tcW w:type="dxa" w:w="1409"/>
            <w:vAlign w:val="center"/>
          </w:tcPr>
          <w:p>
            <w:pPr>
              <w:spacing w:after="0"/>
            </w:pPr>
            <w:r/>
            <w:r>
              <w:rPr>
                <w:rFonts w:ascii="Arial" w:hAnsi="Arial"/>
                <w:b w:val="0"/>
                <w:sz w:val="14"/>
              </w:rPr>
              <w:t>gpt</w:t>
            </w:r>
          </w:p>
        </w:tc>
        <w:tc>
          <w:tcPr>
            <w:tcW w:type="dxa" w:w="1409"/>
            <w:vAlign w:val="center"/>
          </w:tcPr>
          <w:p>
            <w:pPr>
              <w:spacing w:after="0"/>
            </w:pPr>
            <w:r/>
            <w:r>
              <w:rPr>
                <w:rFonts w:ascii="Arial" w:hAnsi="Arial"/>
                <w:b w:val="0"/>
                <w:sz w:val="14"/>
              </w:rPr>
              <w:t>External-source summary</w:t>
            </w:r>
          </w:p>
        </w:tc>
        <w:tc>
          <w:tcPr>
            <w:tcW w:type="dxa" w:w="1409"/>
            <w:vAlign w:val="center"/>
          </w:tcPr>
          <w:p>
            <w:pPr>
              <w:spacing w:after="0"/>
            </w:pPr>
            <w:r/>
            <w:r>
              <w:rPr>
                <w:rFonts w:ascii="Arial" w:hAnsi="Arial"/>
                <w:b w:val="0"/>
                <w:sz w:val="14"/>
              </w:rPr>
              <w:t>7606</w:t>
            </w:r>
          </w:p>
        </w:tc>
        <w:tc>
          <w:tcPr>
            <w:tcW w:type="dxa" w:w="1409"/>
            <w:vAlign w:val="center"/>
          </w:tcPr>
          <w:p>
            <w:pPr>
              <w:spacing w:after="0"/>
            </w:pPr>
            <w:r/>
            <w:r>
              <w:rPr>
                <w:rFonts w:ascii="Arial" w:hAnsi="Arial"/>
                <w:b w:val="0"/>
                <w:sz w:val="14"/>
              </w:rPr>
              <w:t>17.49</w:t>
            </w:r>
          </w:p>
        </w:tc>
        <w:tc>
          <w:tcPr>
            <w:tcW w:type="dxa" w:w="1409"/>
            <w:vAlign w:val="center"/>
          </w:tcPr>
          <w:p>
            <w:pPr>
              <w:spacing w:after="0"/>
            </w:pPr>
            <w:r/>
            <w:r>
              <w:rPr>
                <w:rFonts w:ascii="Arial" w:hAnsi="Arial"/>
                <w:b w:val="0"/>
                <w:sz w:val="14"/>
              </w:rPr>
              <w:t>111</w:t>
            </w:r>
          </w:p>
        </w:tc>
        <w:tc>
          <w:tcPr>
            <w:tcW w:type="dxa" w:w="1409"/>
            <w:vAlign w:val="center"/>
          </w:tcPr>
          <w:p>
            <w:pPr>
              <w:spacing w:after="0"/>
            </w:pPr>
            <w:r/>
            <w:r>
              <w:rPr>
                <w:rFonts w:ascii="Arial" w:hAnsi="Arial"/>
                <w:b w:val="0"/>
                <w:sz w:val="14"/>
              </w:rPr>
              <w:t>180</w:t>
            </w:r>
          </w:p>
        </w:tc>
        <w:tc>
          <w:tcPr>
            <w:tcW w:type="dxa" w:w="1409"/>
            <w:vAlign w:val="center"/>
          </w:tcPr>
          <w:p>
            <w:pPr>
              <w:spacing w:after="0"/>
            </w:pPr>
            <w:r/>
            <w:r>
              <w:rPr>
                <w:rFonts w:ascii="Arial" w:hAnsi="Arial"/>
                <w:b w:val="0"/>
                <w:sz w:val="14"/>
              </w:rPr>
              <w:t>561</w:t>
            </w:r>
          </w:p>
        </w:tc>
      </w:tr>
      <w:tr>
        <w:trPr>
          <w:cantSplit w:val="true"/>
        </w:trPr>
        <w:tc>
          <w:tcPr>
            <w:tcW w:type="dxa" w:w="1409"/>
            <w:vAlign w:val="center"/>
          </w:tcPr>
          <w:p>
            <w:pPr>
              <w:spacing w:after="0"/>
            </w:pPr>
            <w:r/>
            <w:r>
              <w:rPr>
                <w:rFonts w:ascii="Arial" w:hAnsi="Arial"/>
                <w:b w:val="0"/>
                <w:sz w:val="14"/>
              </w:rPr>
              <w:t>mistral</w:t>
            </w:r>
          </w:p>
        </w:tc>
        <w:tc>
          <w:tcPr>
            <w:tcW w:type="dxa" w:w="1409"/>
            <w:vAlign w:val="center"/>
          </w:tcPr>
          <w:p>
            <w:pPr>
              <w:spacing w:after="0"/>
            </w:pPr>
            <w:r/>
            <w:r>
              <w:rPr>
                <w:rFonts w:ascii="Arial" w:hAnsi="Arial"/>
                <w:b w:val="0"/>
                <w:sz w:val="14"/>
              </w:rPr>
              <w:t>External-source summary</w:t>
            </w:r>
          </w:p>
        </w:tc>
        <w:tc>
          <w:tcPr>
            <w:tcW w:type="dxa" w:w="1409"/>
            <w:vAlign w:val="center"/>
          </w:tcPr>
          <w:p>
            <w:pPr>
              <w:spacing w:after="0"/>
            </w:pPr>
            <w:r/>
            <w:r>
              <w:rPr>
                <w:rFonts w:ascii="Arial" w:hAnsi="Arial"/>
                <w:b w:val="0"/>
                <w:sz w:val="14"/>
              </w:rPr>
              <w:t>7317</w:t>
            </w:r>
          </w:p>
        </w:tc>
        <w:tc>
          <w:tcPr>
            <w:tcW w:type="dxa" w:w="1409"/>
            <w:vAlign w:val="center"/>
          </w:tcPr>
          <w:p>
            <w:pPr>
              <w:spacing w:after="0"/>
            </w:pPr>
            <w:r/>
            <w:r>
              <w:rPr>
                <w:rFonts w:ascii="Arial" w:hAnsi="Arial"/>
                <w:b w:val="0"/>
                <w:sz w:val="14"/>
              </w:rPr>
              <w:t>20.62</w:t>
            </w:r>
          </w:p>
        </w:tc>
        <w:tc>
          <w:tcPr>
            <w:tcW w:type="dxa" w:w="1409"/>
            <w:vAlign w:val="center"/>
          </w:tcPr>
          <w:p>
            <w:pPr>
              <w:spacing w:after="0"/>
            </w:pPr>
            <w:r/>
            <w:r>
              <w:rPr>
                <w:rFonts w:ascii="Arial" w:hAnsi="Arial"/>
                <w:b w:val="0"/>
                <w:sz w:val="14"/>
              </w:rPr>
              <w:t>122</w:t>
            </w:r>
          </w:p>
        </w:tc>
        <w:tc>
          <w:tcPr>
            <w:tcW w:type="dxa" w:w="1409"/>
            <w:vAlign w:val="center"/>
          </w:tcPr>
          <w:p>
            <w:pPr>
              <w:spacing w:after="0"/>
            </w:pPr>
            <w:r/>
            <w:r>
              <w:rPr>
                <w:rFonts w:ascii="Arial" w:hAnsi="Arial"/>
                <w:b w:val="0"/>
                <w:sz w:val="14"/>
              </w:rPr>
              <w:t>205</w:t>
            </w:r>
          </w:p>
        </w:tc>
        <w:tc>
          <w:tcPr>
            <w:tcW w:type="dxa" w:w="1409"/>
            <w:vAlign w:val="center"/>
          </w:tcPr>
          <w:p>
            <w:pPr>
              <w:spacing w:after="0"/>
            </w:pPr>
            <w:r/>
            <w:r>
              <w:rPr>
                <w:rFonts w:ascii="Arial" w:hAnsi="Arial"/>
                <w:b w:val="0"/>
                <w:sz w:val="14"/>
              </w:rPr>
              <w:t>504</w:t>
            </w:r>
          </w:p>
        </w:tc>
      </w:tr>
      <w:tr>
        <w:trPr>
          <w:cantSplit w:val="true"/>
        </w:trPr>
        <w:tc>
          <w:tcPr>
            <w:tcW w:type="dxa" w:w="1409"/>
            <w:vAlign w:val="center"/>
          </w:tcPr>
          <w:p>
            <w:pPr>
              <w:spacing w:after="0"/>
            </w:pPr>
            <w:r/>
            <w:r>
              <w:rPr>
                <w:rFonts w:ascii="Arial" w:hAnsi="Arial"/>
                <w:b w:val="0"/>
                <w:sz w:val="14"/>
              </w:rPr>
              <w:t>gemma</w:t>
            </w:r>
          </w:p>
        </w:tc>
        <w:tc>
          <w:tcPr>
            <w:tcW w:type="dxa" w:w="1409"/>
            <w:vAlign w:val="center"/>
          </w:tcPr>
          <w:p>
            <w:pPr>
              <w:spacing w:after="0"/>
            </w:pPr>
            <w:r/>
            <w:r>
              <w:rPr>
                <w:rFonts w:ascii="Arial" w:hAnsi="Arial"/>
                <w:b w:val="0"/>
                <w:sz w:val="14"/>
              </w:rPr>
              <w:t>CVSS explanation</w:t>
            </w:r>
          </w:p>
        </w:tc>
        <w:tc>
          <w:tcPr>
            <w:tcW w:type="dxa" w:w="1409"/>
            <w:vAlign w:val="center"/>
          </w:tcPr>
          <w:p>
            <w:pPr>
              <w:spacing w:after="0"/>
            </w:pPr>
            <w:r/>
            <w:r>
              <w:rPr>
                <w:rFonts w:ascii="Arial" w:hAnsi="Arial"/>
                <w:b w:val="0"/>
                <w:sz w:val="14"/>
              </w:rPr>
              <w:t>9218</w:t>
            </w:r>
          </w:p>
        </w:tc>
        <w:tc>
          <w:tcPr>
            <w:tcW w:type="dxa" w:w="1409"/>
            <w:vAlign w:val="center"/>
          </w:tcPr>
          <w:p>
            <w:pPr>
              <w:spacing w:after="0"/>
            </w:pPr>
            <w:r/>
            <w:r>
              <w:rPr>
                <w:rFonts w:ascii="Arial" w:hAnsi="Arial"/>
                <w:b w:val="0"/>
                <w:sz w:val="14"/>
              </w:rPr>
              <w:t>0</w:t>
            </w:r>
          </w:p>
        </w:tc>
        <w:tc>
          <w:tcPr>
            <w:tcW w:type="dxa" w:w="1409"/>
            <w:vAlign w:val="center"/>
          </w:tcPr>
          <w:p>
            <w:pPr>
              <w:spacing w:after="0"/>
            </w:pPr>
            <w:r/>
            <w:r>
              <w:rPr>
                <w:rFonts w:ascii="Arial" w:hAnsi="Arial"/>
                <w:b w:val="0"/>
                <w:sz w:val="14"/>
              </w:rPr>
              <w:t>66</w:t>
            </w:r>
          </w:p>
        </w:tc>
        <w:tc>
          <w:tcPr>
            <w:tcW w:type="dxa" w:w="1409"/>
            <w:vAlign w:val="center"/>
          </w:tcPr>
          <w:p>
            <w:pPr>
              <w:spacing w:after="0"/>
            </w:pPr>
            <w:r/>
            <w:r>
              <w:rPr>
                <w:rFonts w:ascii="Arial" w:hAnsi="Arial"/>
                <w:b w:val="0"/>
                <w:sz w:val="14"/>
              </w:rPr>
              <w:t>82</w:t>
            </w:r>
          </w:p>
        </w:tc>
        <w:tc>
          <w:tcPr>
            <w:tcW w:type="dxa" w:w="1409"/>
            <w:vAlign w:val="center"/>
          </w:tcPr>
          <w:p>
            <w:pPr>
              <w:spacing w:after="0"/>
            </w:pPr>
            <w:r/>
            <w:r>
              <w:rPr>
                <w:rFonts w:ascii="Arial" w:hAnsi="Arial"/>
                <w:b w:val="0"/>
                <w:sz w:val="14"/>
              </w:rPr>
              <w:t>117</w:t>
            </w:r>
          </w:p>
        </w:tc>
      </w:tr>
      <w:tr>
        <w:trPr>
          <w:cantSplit w:val="true"/>
        </w:trPr>
        <w:tc>
          <w:tcPr>
            <w:tcW w:type="dxa" w:w="1409"/>
            <w:vAlign w:val="center"/>
          </w:tcPr>
          <w:p>
            <w:pPr>
              <w:spacing w:after="0"/>
            </w:pPr>
            <w:r/>
            <w:r>
              <w:rPr>
                <w:rFonts w:ascii="Arial" w:hAnsi="Arial"/>
                <w:b w:val="0"/>
                <w:sz w:val="14"/>
              </w:rPr>
              <w:t>gpt</w:t>
            </w:r>
          </w:p>
        </w:tc>
        <w:tc>
          <w:tcPr>
            <w:tcW w:type="dxa" w:w="1409"/>
            <w:vAlign w:val="center"/>
          </w:tcPr>
          <w:p>
            <w:pPr>
              <w:spacing w:after="0"/>
            </w:pPr>
            <w:r/>
            <w:r>
              <w:rPr>
                <w:rFonts w:ascii="Arial" w:hAnsi="Arial"/>
                <w:b w:val="0"/>
                <w:sz w:val="14"/>
              </w:rPr>
              <w:t>CVSS explanation</w:t>
            </w:r>
          </w:p>
        </w:tc>
        <w:tc>
          <w:tcPr>
            <w:tcW w:type="dxa" w:w="1409"/>
            <w:vAlign w:val="center"/>
          </w:tcPr>
          <w:p>
            <w:pPr>
              <w:spacing w:after="0"/>
            </w:pPr>
            <w:r/>
            <w:r>
              <w:rPr>
                <w:rFonts w:ascii="Arial" w:hAnsi="Arial"/>
                <w:b w:val="0"/>
                <w:sz w:val="14"/>
              </w:rPr>
              <w:t>9218</w:t>
            </w:r>
          </w:p>
        </w:tc>
        <w:tc>
          <w:tcPr>
            <w:tcW w:type="dxa" w:w="1409"/>
            <w:vAlign w:val="center"/>
          </w:tcPr>
          <w:p>
            <w:pPr>
              <w:spacing w:after="0"/>
            </w:pPr>
            <w:r/>
            <w:r>
              <w:rPr>
                <w:rFonts w:ascii="Arial" w:hAnsi="Arial"/>
                <w:b w:val="0"/>
                <w:sz w:val="14"/>
              </w:rPr>
              <w:t>0</w:t>
            </w:r>
          </w:p>
        </w:tc>
        <w:tc>
          <w:tcPr>
            <w:tcW w:type="dxa" w:w="1409"/>
            <w:vAlign w:val="center"/>
          </w:tcPr>
          <w:p>
            <w:pPr>
              <w:spacing w:after="0"/>
            </w:pPr>
            <w:r/>
            <w:r>
              <w:rPr>
                <w:rFonts w:ascii="Arial" w:hAnsi="Arial"/>
                <w:b w:val="0"/>
                <w:sz w:val="14"/>
              </w:rPr>
              <w:t>85</w:t>
            </w:r>
          </w:p>
        </w:tc>
        <w:tc>
          <w:tcPr>
            <w:tcW w:type="dxa" w:w="1409"/>
            <w:vAlign w:val="center"/>
          </w:tcPr>
          <w:p>
            <w:pPr>
              <w:spacing w:after="0"/>
            </w:pPr>
            <w:r/>
            <w:r>
              <w:rPr>
                <w:rFonts w:ascii="Arial" w:hAnsi="Arial"/>
                <w:b w:val="0"/>
                <w:sz w:val="14"/>
              </w:rPr>
              <w:t>136</w:t>
            </w:r>
          </w:p>
        </w:tc>
        <w:tc>
          <w:tcPr>
            <w:tcW w:type="dxa" w:w="1409"/>
            <w:vAlign w:val="center"/>
          </w:tcPr>
          <w:p>
            <w:pPr>
              <w:spacing w:after="0"/>
            </w:pPr>
            <w:r/>
            <w:r>
              <w:rPr>
                <w:rFonts w:ascii="Arial" w:hAnsi="Arial"/>
                <w:b w:val="0"/>
                <w:sz w:val="14"/>
              </w:rPr>
              <w:t>249</w:t>
            </w:r>
          </w:p>
        </w:tc>
      </w:tr>
      <w:tr>
        <w:trPr>
          <w:cantSplit w:val="true"/>
        </w:trPr>
        <w:tc>
          <w:tcPr>
            <w:tcW w:type="dxa" w:w="1409"/>
            <w:vAlign w:val="center"/>
          </w:tcPr>
          <w:p>
            <w:pPr>
              <w:spacing w:after="0"/>
            </w:pPr>
            <w:r/>
            <w:r>
              <w:rPr>
                <w:rFonts w:ascii="Arial" w:hAnsi="Arial"/>
                <w:b w:val="0"/>
                <w:sz w:val="14"/>
              </w:rPr>
              <w:t>mistral</w:t>
            </w:r>
          </w:p>
        </w:tc>
        <w:tc>
          <w:tcPr>
            <w:tcW w:type="dxa" w:w="1409"/>
            <w:vAlign w:val="center"/>
          </w:tcPr>
          <w:p>
            <w:pPr>
              <w:spacing w:after="0"/>
            </w:pPr>
            <w:r/>
            <w:r>
              <w:rPr>
                <w:rFonts w:ascii="Arial" w:hAnsi="Arial"/>
                <w:b w:val="0"/>
                <w:sz w:val="14"/>
              </w:rPr>
              <w:t>CVSS explanation</w:t>
            </w:r>
          </w:p>
        </w:tc>
        <w:tc>
          <w:tcPr>
            <w:tcW w:type="dxa" w:w="1409"/>
            <w:vAlign w:val="center"/>
          </w:tcPr>
          <w:p>
            <w:pPr>
              <w:spacing w:after="0"/>
            </w:pPr>
            <w:r/>
            <w:r>
              <w:rPr>
                <w:rFonts w:ascii="Arial" w:hAnsi="Arial"/>
                <w:b w:val="0"/>
                <w:sz w:val="14"/>
              </w:rPr>
              <w:t>9016</w:t>
            </w:r>
          </w:p>
        </w:tc>
        <w:tc>
          <w:tcPr>
            <w:tcW w:type="dxa" w:w="1409"/>
            <w:vAlign w:val="center"/>
          </w:tcPr>
          <w:p>
            <w:pPr>
              <w:spacing w:after="0"/>
            </w:pPr>
            <w:r/>
            <w:r>
              <w:rPr>
                <w:rFonts w:ascii="Arial" w:hAnsi="Arial"/>
                <w:b w:val="0"/>
                <w:sz w:val="14"/>
              </w:rPr>
              <w:t>2.19</w:t>
            </w:r>
          </w:p>
        </w:tc>
        <w:tc>
          <w:tcPr>
            <w:tcW w:type="dxa" w:w="1409"/>
            <w:vAlign w:val="center"/>
          </w:tcPr>
          <w:p>
            <w:pPr>
              <w:spacing w:after="0"/>
            </w:pPr>
            <w:r/>
            <w:r>
              <w:rPr>
                <w:rFonts w:ascii="Arial" w:hAnsi="Arial"/>
                <w:b w:val="0"/>
                <w:sz w:val="14"/>
              </w:rPr>
              <w:t>108</w:t>
            </w:r>
          </w:p>
        </w:tc>
        <w:tc>
          <w:tcPr>
            <w:tcW w:type="dxa" w:w="1409"/>
            <w:vAlign w:val="center"/>
          </w:tcPr>
          <w:p>
            <w:pPr>
              <w:spacing w:after="0"/>
            </w:pPr>
            <w:r/>
            <w:r>
              <w:rPr>
                <w:rFonts w:ascii="Arial" w:hAnsi="Arial"/>
                <w:b w:val="0"/>
                <w:sz w:val="14"/>
              </w:rPr>
              <w:t>150</w:t>
            </w:r>
          </w:p>
        </w:tc>
        <w:tc>
          <w:tcPr>
            <w:tcW w:type="dxa" w:w="1409"/>
            <w:vAlign w:val="center"/>
          </w:tcPr>
          <w:p>
            <w:pPr>
              <w:spacing w:after="0"/>
            </w:pPr>
            <w:r/>
            <w:r>
              <w:rPr>
                <w:rFonts w:ascii="Arial" w:hAnsi="Arial"/>
                <w:b w:val="0"/>
                <w:sz w:val="14"/>
              </w:rPr>
              <w:t>259</w:t>
            </w:r>
          </w:p>
        </w:tc>
      </w:tr>
      <w:tr>
        <w:trPr>
          <w:cantSplit w:val="true"/>
        </w:trPr>
        <w:tc>
          <w:tcPr>
            <w:tcW w:type="dxa" w:w="1409"/>
            <w:vAlign w:val="center"/>
          </w:tcPr>
          <w:p>
            <w:pPr>
              <w:spacing w:after="0"/>
            </w:pPr>
            <w:r/>
            <w:r>
              <w:rPr>
                <w:rFonts w:ascii="Arial" w:hAnsi="Arial"/>
                <w:b w:val="0"/>
                <w:sz w:val="14"/>
              </w:rPr>
              <w:t>gemma</w:t>
            </w:r>
          </w:p>
        </w:tc>
        <w:tc>
          <w:tcPr>
            <w:tcW w:type="dxa" w:w="1409"/>
            <w:vAlign w:val="center"/>
          </w:tcPr>
          <w:p>
            <w:pPr>
              <w:spacing w:after="0"/>
            </w:pPr>
            <w:r/>
            <w:r>
              <w:rPr>
                <w:rFonts w:ascii="Arial" w:hAnsi="Arial"/>
                <w:b w:val="0"/>
                <w:sz w:val="14"/>
              </w:rPr>
              <w:t>GitHub summary</w:t>
            </w:r>
          </w:p>
        </w:tc>
        <w:tc>
          <w:tcPr>
            <w:tcW w:type="dxa" w:w="1409"/>
            <w:vAlign w:val="center"/>
          </w:tcPr>
          <w:p>
            <w:pPr>
              <w:spacing w:after="0"/>
            </w:pPr>
            <w:r/>
            <w:r>
              <w:rPr>
                <w:rFonts w:ascii="Arial" w:hAnsi="Arial"/>
                <w:b w:val="0"/>
                <w:sz w:val="14"/>
              </w:rPr>
              <w:t>2381</w:t>
            </w:r>
          </w:p>
        </w:tc>
        <w:tc>
          <w:tcPr>
            <w:tcW w:type="dxa" w:w="1409"/>
            <w:vAlign w:val="center"/>
          </w:tcPr>
          <w:p>
            <w:pPr>
              <w:spacing w:after="0"/>
            </w:pPr>
            <w:r/>
            <w:r>
              <w:rPr>
                <w:rFonts w:ascii="Arial" w:hAnsi="Arial"/>
                <w:b w:val="0"/>
                <w:sz w:val="14"/>
              </w:rPr>
              <w:t>74.17</w:t>
            </w:r>
          </w:p>
        </w:tc>
        <w:tc>
          <w:tcPr>
            <w:tcW w:type="dxa" w:w="1409"/>
            <w:vAlign w:val="center"/>
          </w:tcPr>
          <w:p>
            <w:pPr>
              <w:spacing w:after="0"/>
            </w:pPr>
            <w:r/>
            <w:r>
              <w:rPr>
                <w:rFonts w:ascii="Arial" w:hAnsi="Arial"/>
                <w:b w:val="0"/>
                <w:sz w:val="14"/>
              </w:rPr>
              <w:t>81</w:t>
            </w:r>
          </w:p>
        </w:tc>
        <w:tc>
          <w:tcPr>
            <w:tcW w:type="dxa" w:w="1409"/>
            <w:vAlign w:val="center"/>
          </w:tcPr>
          <w:p>
            <w:pPr>
              <w:spacing w:after="0"/>
            </w:pPr>
            <w:r/>
            <w:r>
              <w:rPr>
                <w:rFonts w:ascii="Arial" w:hAnsi="Arial"/>
                <w:b w:val="0"/>
                <w:sz w:val="14"/>
              </w:rPr>
              <w:t>118</w:t>
            </w:r>
          </w:p>
        </w:tc>
        <w:tc>
          <w:tcPr>
            <w:tcW w:type="dxa" w:w="1409"/>
            <w:vAlign w:val="center"/>
          </w:tcPr>
          <w:p>
            <w:pPr>
              <w:spacing w:after="0"/>
            </w:pPr>
            <w:r/>
            <w:r>
              <w:rPr>
                <w:rFonts w:ascii="Arial" w:hAnsi="Arial"/>
                <w:b w:val="0"/>
                <w:sz w:val="14"/>
              </w:rPr>
              <w:t>424</w:t>
            </w:r>
          </w:p>
        </w:tc>
      </w:tr>
      <w:tr>
        <w:trPr>
          <w:cantSplit w:val="true"/>
        </w:trPr>
        <w:tc>
          <w:tcPr>
            <w:tcW w:type="dxa" w:w="1409"/>
            <w:vAlign w:val="center"/>
          </w:tcPr>
          <w:p>
            <w:pPr>
              <w:spacing w:after="0"/>
            </w:pPr>
            <w:r/>
            <w:r>
              <w:rPr>
                <w:rFonts w:ascii="Arial" w:hAnsi="Arial"/>
                <w:b w:val="0"/>
                <w:sz w:val="14"/>
              </w:rPr>
              <w:t>gpt</w:t>
            </w:r>
          </w:p>
        </w:tc>
        <w:tc>
          <w:tcPr>
            <w:tcW w:type="dxa" w:w="1409"/>
            <w:vAlign w:val="center"/>
          </w:tcPr>
          <w:p>
            <w:pPr>
              <w:spacing w:after="0"/>
            </w:pPr>
            <w:r/>
            <w:r>
              <w:rPr>
                <w:rFonts w:ascii="Arial" w:hAnsi="Arial"/>
                <w:b w:val="0"/>
                <w:sz w:val="14"/>
              </w:rPr>
              <w:t>GitHub summary</w:t>
            </w:r>
          </w:p>
        </w:tc>
        <w:tc>
          <w:tcPr>
            <w:tcW w:type="dxa" w:w="1409"/>
            <w:vAlign w:val="center"/>
          </w:tcPr>
          <w:p>
            <w:pPr>
              <w:spacing w:after="0"/>
            </w:pPr>
            <w:r/>
            <w:r>
              <w:rPr>
                <w:rFonts w:ascii="Arial" w:hAnsi="Arial"/>
                <w:b w:val="0"/>
                <w:sz w:val="14"/>
              </w:rPr>
              <w:t>2246</w:t>
            </w:r>
          </w:p>
        </w:tc>
        <w:tc>
          <w:tcPr>
            <w:tcW w:type="dxa" w:w="1409"/>
            <w:vAlign w:val="center"/>
          </w:tcPr>
          <w:p>
            <w:pPr>
              <w:spacing w:after="0"/>
            </w:pPr>
            <w:r/>
            <w:r>
              <w:rPr>
                <w:rFonts w:ascii="Arial" w:hAnsi="Arial"/>
                <w:b w:val="0"/>
                <w:sz w:val="14"/>
              </w:rPr>
              <w:t>75.63</w:t>
            </w:r>
          </w:p>
        </w:tc>
        <w:tc>
          <w:tcPr>
            <w:tcW w:type="dxa" w:w="1409"/>
            <w:vAlign w:val="center"/>
          </w:tcPr>
          <w:p>
            <w:pPr>
              <w:spacing w:after="0"/>
            </w:pPr>
            <w:r/>
            <w:r>
              <w:rPr>
                <w:rFonts w:ascii="Arial" w:hAnsi="Arial"/>
                <w:b w:val="0"/>
                <w:sz w:val="14"/>
              </w:rPr>
              <w:t>210</w:t>
            </w:r>
          </w:p>
        </w:tc>
        <w:tc>
          <w:tcPr>
            <w:tcW w:type="dxa" w:w="1409"/>
            <w:vAlign w:val="center"/>
          </w:tcPr>
          <w:p>
            <w:pPr>
              <w:spacing w:after="0"/>
            </w:pPr>
            <w:r/>
            <w:r>
              <w:rPr>
                <w:rFonts w:ascii="Arial" w:hAnsi="Arial"/>
                <w:b w:val="0"/>
                <w:sz w:val="14"/>
              </w:rPr>
              <w:t>298.5</w:t>
            </w:r>
          </w:p>
        </w:tc>
        <w:tc>
          <w:tcPr>
            <w:tcW w:type="dxa" w:w="1409"/>
            <w:vAlign w:val="center"/>
          </w:tcPr>
          <w:p>
            <w:pPr>
              <w:spacing w:after="0"/>
            </w:pPr>
            <w:r/>
            <w:r>
              <w:rPr>
                <w:rFonts w:ascii="Arial" w:hAnsi="Arial"/>
                <w:b w:val="0"/>
                <w:sz w:val="14"/>
              </w:rPr>
              <w:t>1208</w:t>
            </w:r>
          </w:p>
        </w:tc>
      </w:tr>
      <w:tr>
        <w:trPr>
          <w:cantSplit w:val="true"/>
        </w:trPr>
        <w:tc>
          <w:tcPr>
            <w:tcW w:type="dxa" w:w="1409"/>
            <w:vAlign w:val="center"/>
          </w:tcPr>
          <w:p>
            <w:pPr>
              <w:spacing w:after="0"/>
            </w:pPr>
            <w:r/>
            <w:r>
              <w:rPr>
                <w:rFonts w:ascii="Arial" w:hAnsi="Arial"/>
                <w:b w:val="0"/>
                <w:sz w:val="14"/>
              </w:rPr>
              <w:t>mistral</w:t>
            </w:r>
          </w:p>
        </w:tc>
        <w:tc>
          <w:tcPr>
            <w:tcW w:type="dxa" w:w="1409"/>
            <w:vAlign w:val="center"/>
          </w:tcPr>
          <w:p>
            <w:pPr>
              <w:spacing w:after="0"/>
            </w:pPr>
            <w:r/>
            <w:r>
              <w:rPr>
                <w:rFonts w:ascii="Arial" w:hAnsi="Arial"/>
                <w:b w:val="0"/>
                <w:sz w:val="14"/>
              </w:rPr>
              <w:t>GitHub summary</w:t>
            </w:r>
          </w:p>
        </w:tc>
        <w:tc>
          <w:tcPr>
            <w:tcW w:type="dxa" w:w="1409"/>
            <w:vAlign w:val="center"/>
          </w:tcPr>
          <w:p>
            <w:pPr>
              <w:spacing w:after="0"/>
            </w:pPr>
            <w:r/>
            <w:r>
              <w:rPr>
                <w:rFonts w:ascii="Arial" w:hAnsi="Arial"/>
                <w:b w:val="0"/>
                <w:sz w:val="14"/>
              </w:rPr>
              <w:t>2388</w:t>
            </w:r>
          </w:p>
        </w:tc>
        <w:tc>
          <w:tcPr>
            <w:tcW w:type="dxa" w:w="1409"/>
            <w:vAlign w:val="center"/>
          </w:tcPr>
          <w:p>
            <w:pPr>
              <w:spacing w:after="0"/>
            </w:pPr>
            <w:r/>
            <w:r>
              <w:rPr>
                <w:rFonts w:ascii="Arial" w:hAnsi="Arial"/>
                <w:b w:val="0"/>
                <w:sz w:val="14"/>
              </w:rPr>
              <w:t>74.09</w:t>
            </w:r>
          </w:p>
        </w:tc>
        <w:tc>
          <w:tcPr>
            <w:tcW w:type="dxa" w:w="1409"/>
            <w:vAlign w:val="center"/>
          </w:tcPr>
          <w:p>
            <w:pPr>
              <w:spacing w:after="0"/>
            </w:pPr>
            <w:r/>
            <w:r>
              <w:rPr>
                <w:rFonts w:ascii="Arial" w:hAnsi="Arial"/>
                <w:b w:val="0"/>
                <w:sz w:val="14"/>
              </w:rPr>
              <w:t>113</w:t>
            </w:r>
          </w:p>
        </w:tc>
        <w:tc>
          <w:tcPr>
            <w:tcW w:type="dxa" w:w="1409"/>
            <w:vAlign w:val="center"/>
          </w:tcPr>
          <w:p>
            <w:pPr>
              <w:spacing w:after="0"/>
            </w:pPr>
            <w:r/>
            <w:r>
              <w:rPr>
                <w:rFonts w:ascii="Arial" w:hAnsi="Arial"/>
                <w:b w:val="0"/>
                <w:sz w:val="14"/>
              </w:rPr>
              <w:t>190</w:t>
            </w:r>
          </w:p>
        </w:tc>
        <w:tc>
          <w:tcPr>
            <w:tcW w:type="dxa" w:w="1409"/>
            <w:vAlign w:val="center"/>
          </w:tcPr>
          <w:p>
            <w:pPr>
              <w:spacing w:after="0"/>
            </w:pPr>
            <w:r/>
            <w:r>
              <w:rPr>
                <w:rFonts w:ascii="Arial" w:hAnsi="Arial"/>
                <w:b w:val="0"/>
                <w:sz w:val="14"/>
              </w:rPr>
              <w:t>830</w:t>
            </w:r>
          </w:p>
        </w:tc>
      </w:tr>
    </w:tbl>
    <w:p>
      <w:pPr>
        <w:spacing w:after="40"/>
      </w:pPr>
    </w:p>
    <w:p>
      <w:pPr>
        <w:spacing w:after="180"/>
      </w:pPr>
      <w:r>
        <w:rPr>
          <w:b/>
        </w:rPr>
        <w:t>Table notes:</w:t>
      </w:r>
      <w:r>
        <w:t xml:space="preserve"> “Available summaries” counts generated summaries that are not blank. “Missing (%)” is the percentage missing from the 9,218 rows. “Median words” is the middle summary length. “90th-percentile words” means 90% of summaries are no longer than that value. “Maximum words” is the longest summary produced.</w:t>
      </w:r>
    </w:p>
    <w:tbl>
      <w:tblPr>
        <w:tblStyle w:val="TableGrid"/>
        <w:tblW w:type="auto" w:w="0"/>
        <w:tblLayout w:type="autofit"/>
        <w:tblLook w:firstColumn="1" w:firstRow="1" w:lastColumn="0" w:lastRow="0" w:noHBand="0" w:noVBand="1" w:val="04A0"/>
      </w:tblPr>
      <w:tblGrid>
        <w:gridCol w:w="2466"/>
        <w:gridCol w:w="2466"/>
        <w:gridCol w:w="2466"/>
        <w:gridCol w:w="2466"/>
      </w:tblGrid>
      <w:tr>
        <w:trPr>
          <w:tblHeader w:val="true"/>
          <w:cantSplit w:val="true"/>
        </w:trPr>
        <w:tc>
          <w:tcPr>
            <w:tcW w:type="dxa" w:w="2466"/>
            <w:vAlign w:val="center"/>
            <w:shd w:fill="D9E6F5"/>
          </w:tcPr>
          <w:p>
            <w:pPr>
              <w:spacing w:after="0"/>
            </w:pPr>
            <w:r/>
            <w:r>
              <w:rPr>
                <w:rFonts w:ascii="Arial" w:hAnsi="Arial"/>
                <w:b/>
                <w:sz w:val="17"/>
              </w:rPr>
              <w:t>Model</w:t>
            </w:r>
          </w:p>
        </w:tc>
        <w:tc>
          <w:tcPr>
            <w:tcW w:type="dxa" w:w="2466"/>
            <w:vAlign w:val="center"/>
            <w:shd w:fill="D9E6F5"/>
          </w:tcPr>
          <w:p>
            <w:pPr>
              <w:spacing w:after="0"/>
            </w:pPr>
            <w:r/>
            <w:r>
              <w:rPr>
                <w:rFonts w:ascii="Arial" w:hAnsi="Arial"/>
                <w:b/>
                <w:sz w:val="17"/>
              </w:rPr>
              <w:t>External-source summary gaps</w:t>
            </w:r>
          </w:p>
        </w:tc>
        <w:tc>
          <w:tcPr>
            <w:tcW w:type="dxa" w:w="2466"/>
            <w:vAlign w:val="center"/>
            <w:shd w:fill="D9E6F5"/>
          </w:tcPr>
          <w:p>
            <w:pPr>
              <w:spacing w:after="0"/>
            </w:pPr>
            <w:r/>
            <w:r>
              <w:rPr>
                <w:rFonts w:ascii="Arial" w:hAnsi="Arial"/>
                <w:b/>
                <w:sz w:val="17"/>
              </w:rPr>
              <w:t>GitHub summary gaps</w:t>
            </w:r>
          </w:p>
        </w:tc>
        <w:tc>
          <w:tcPr>
            <w:tcW w:type="dxa" w:w="2466"/>
            <w:vAlign w:val="center"/>
            <w:shd w:fill="D9E6F5"/>
          </w:tcPr>
          <w:p>
            <w:pPr>
              <w:spacing w:after="0"/>
            </w:pPr>
            <w:r/>
            <w:r>
              <w:rPr>
                <w:rFonts w:ascii="Arial" w:hAnsi="Arial"/>
                <w:b/>
                <w:sz w:val="17"/>
              </w:rPr>
              <w:t>CVSS explanation gaps</w:t>
            </w:r>
          </w:p>
        </w:tc>
      </w:tr>
      <w:tr>
        <w:trPr>
          <w:cantSplit w:val="true"/>
        </w:trPr>
        <w:tc>
          <w:tcPr>
            <w:tcW w:type="dxa" w:w="2466"/>
            <w:vAlign w:val="center"/>
          </w:tcPr>
          <w:p>
            <w:pPr>
              <w:spacing w:after="0"/>
            </w:pPr>
            <w:r/>
            <w:r>
              <w:rPr>
                <w:rFonts w:ascii="Arial" w:hAnsi="Arial"/>
                <w:b w:val="0"/>
                <w:sz w:val="17"/>
              </w:rPr>
              <w:t>Gemma</w:t>
            </w:r>
          </w:p>
        </w:tc>
        <w:tc>
          <w:tcPr>
            <w:tcW w:type="dxa" w:w="2466"/>
            <w:vAlign w:val="center"/>
          </w:tcPr>
          <w:p>
            <w:pPr>
              <w:spacing w:after="0"/>
            </w:pPr>
            <w:r/>
            <w:r>
              <w:rPr>
                <w:rFonts w:ascii="Arial" w:hAnsi="Arial"/>
                <w:b w:val="0"/>
                <w:sz w:val="17"/>
              </w:rPr>
              <w:t>0</w:t>
            </w:r>
          </w:p>
        </w:tc>
        <w:tc>
          <w:tcPr>
            <w:tcW w:type="dxa" w:w="2466"/>
            <w:vAlign w:val="center"/>
          </w:tcPr>
          <w:p>
            <w:pPr>
              <w:spacing w:after="0"/>
            </w:pPr>
            <w:r/>
            <w:r>
              <w:rPr>
                <w:rFonts w:ascii="Arial" w:hAnsi="Arial"/>
                <w:b w:val="0"/>
                <w:sz w:val="17"/>
              </w:rPr>
              <w:t>7</w:t>
            </w:r>
          </w:p>
        </w:tc>
        <w:tc>
          <w:tcPr>
            <w:tcW w:type="dxa" w:w="2466"/>
            <w:vAlign w:val="center"/>
          </w:tcPr>
          <w:p>
            <w:pPr>
              <w:spacing w:after="0"/>
            </w:pPr>
            <w:r/>
            <w:r>
              <w:rPr>
                <w:rFonts w:ascii="Arial" w:hAnsi="Arial"/>
                <w:b w:val="0"/>
                <w:sz w:val="17"/>
              </w:rPr>
              <w:t>0</w:t>
            </w:r>
          </w:p>
        </w:tc>
      </w:tr>
      <w:tr>
        <w:trPr>
          <w:cantSplit w:val="true"/>
        </w:trPr>
        <w:tc>
          <w:tcPr>
            <w:tcW w:type="dxa" w:w="2466"/>
            <w:vAlign w:val="center"/>
          </w:tcPr>
          <w:p>
            <w:pPr>
              <w:spacing w:after="0"/>
            </w:pPr>
            <w:r/>
            <w:r>
              <w:rPr>
                <w:rFonts w:ascii="Arial" w:hAnsi="Arial"/>
                <w:b w:val="0"/>
                <w:sz w:val="17"/>
              </w:rPr>
              <w:t>GPT</w:t>
            </w:r>
          </w:p>
        </w:tc>
        <w:tc>
          <w:tcPr>
            <w:tcW w:type="dxa" w:w="2466"/>
            <w:vAlign w:val="center"/>
          </w:tcPr>
          <w:p>
            <w:pPr>
              <w:spacing w:after="0"/>
            </w:pPr>
            <w:r/>
            <w:r>
              <w:rPr>
                <w:rFonts w:ascii="Arial" w:hAnsi="Arial"/>
                <w:b w:val="0"/>
                <w:sz w:val="17"/>
              </w:rPr>
              <w:t>30</w:t>
            </w:r>
          </w:p>
        </w:tc>
        <w:tc>
          <w:tcPr>
            <w:tcW w:type="dxa" w:w="2466"/>
            <w:vAlign w:val="center"/>
          </w:tcPr>
          <w:p>
            <w:pPr>
              <w:spacing w:after="0"/>
            </w:pPr>
            <w:r/>
            <w:r>
              <w:rPr>
                <w:rFonts w:ascii="Arial" w:hAnsi="Arial"/>
                <w:b w:val="0"/>
                <w:sz w:val="17"/>
              </w:rPr>
              <w:t>141</w:t>
            </w:r>
          </w:p>
        </w:tc>
        <w:tc>
          <w:tcPr>
            <w:tcW w:type="dxa" w:w="2466"/>
            <w:vAlign w:val="center"/>
          </w:tcPr>
          <w:p>
            <w:pPr>
              <w:spacing w:after="0"/>
            </w:pPr>
            <w:r/>
            <w:r>
              <w:rPr>
                <w:rFonts w:ascii="Arial" w:hAnsi="Arial"/>
                <w:b w:val="0"/>
                <w:sz w:val="17"/>
              </w:rPr>
              <w:t>0</w:t>
            </w:r>
          </w:p>
        </w:tc>
      </w:tr>
      <w:tr>
        <w:trPr>
          <w:cantSplit w:val="true"/>
        </w:trPr>
        <w:tc>
          <w:tcPr>
            <w:tcW w:type="dxa" w:w="2466"/>
            <w:vAlign w:val="center"/>
          </w:tcPr>
          <w:p>
            <w:pPr>
              <w:spacing w:after="0"/>
            </w:pPr>
            <w:r/>
            <w:r>
              <w:rPr>
                <w:rFonts w:ascii="Arial" w:hAnsi="Arial"/>
                <w:b w:val="0"/>
                <w:sz w:val="17"/>
              </w:rPr>
              <w:t>Mistral</w:t>
            </w:r>
          </w:p>
        </w:tc>
        <w:tc>
          <w:tcPr>
            <w:tcW w:type="dxa" w:w="2466"/>
            <w:vAlign w:val="center"/>
          </w:tcPr>
          <w:p>
            <w:pPr>
              <w:spacing w:after="0"/>
            </w:pPr>
            <w:r/>
            <w:r>
              <w:rPr>
                <w:rFonts w:ascii="Arial" w:hAnsi="Arial"/>
                <w:b w:val="0"/>
                <w:sz w:val="17"/>
              </w:rPr>
              <w:t>319</w:t>
            </w:r>
          </w:p>
        </w:tc>
        <w:tc>
          <w:tcPr>
            <w:tcW w:type="dxa" w:w="2466"/>
            <w:vAlign w:val="center"/>
          </w:tcPr>
          <w:p>
            <w:pPr>
              <w:spacing w:after="0"/>
            </w:pPr>
            <w:r/>
            <w:r>
              <w:rPr>
                <w:rFonts w:ascii="Arial" w:hAnsi="Arial"/>
                <w:b w:val="0"/>
                <w:sz w:val="17"/>
              </w:rPr>
              <w:t>0</w:t>
            </w:r>
          </w:p>
        </w:tc>
        <w:tc>
          <w:tcPr>
            <w:tcW w:type="dxa" w:w="2466"/>
            <w:vAlign w:val="center"/>
          </w:tcPr>
          <w:p>
            <w:pPr>
              <w:spacing w:after="0"/>
            </w:pPr>
            <w:r/>
            <w:r>
              <w:rPr>
                <w:rFonts w:ascii="Arial" w:hAnsi="Arial"/>
                <w:b w:val="0"/>
                <w:sz w:val="17"/>
              </w:rPr>
              <w:t>202</w:t>
            </w:r>
          </w:p>
        </w:tc>
      </w:tr>
    </w:tbl>
    <w:p>
      <w:pPr>
        <w:spacing w:after="40"/>
      </w:pPr>
    </w:p>
    <w:p>
      <w:pPr>
        <w:spacing w:after="180"/>
      </w:pPr>
      <w:r>
        <w:rPr>
          <w:b/>
        </w:rPr>
        <w:t>Table notes:</w:t>
      </w:r>
      <w:r>
        <w:t xml:space="preserve"> A “gap” means the LLM received the needed input but no summary was saved. For example, a GitHub summary gap means a GitHub URL existed but the summary was blank. This table separates expected blanks caused by missing source material from possible model or processing failures. It checks only whether a summary exists, not whether its content is correct.</w:t>
      </w:r>
    </w:p>
    <w:p>
      <w:r>
        <w:t>Gemma had the strongest overall coverage and the best parsed CVSS-score agreement in the independent audit. GPT was generally accurate but had more truncated source summaries. Mistral was more verbose and structured, but it had more missing summaries and more false statements that a recent CVE was not real. Because an LLM may also carry prior knowledge of public CVEs, generated summaries were not used as the primary evidence for temporal direction.</w:t>
      </w:r>
    </w:p>
    <w:p>
      <w:pPr>
        <w:pStyle w:val="Heading1"/>
      </w:pPr>
      <w:r>
        <w:t>9. EPSS by CVE Year</w:t>
      </w:r>
    </w:p>
    <w:tbl>
      <w:tblPr>
        <w:tblStyle w:val="TableGrid"/>
        <w:tblW w:type="auto" w:w="0"/>
        <w:tblLayout w:type="autofit"/>
        <w:tblLook w:firstColumn="1" w:firstRow="1" w:lastColumn="0" w:lastRow="0" w:noHBand="0" w:noVBand="1" w:val="04A0"/>
      </w:tblPr>
      <w:tblGrid>
        <w:gridCol w:w="2466"/>
        <w:gridCol w:w="2466"/>
        <w:gridCol w:w="2466"/>
        <w:gridCol w:w="2466"/>
      </w:tblGrid>
      <w:tr>
        <w:trPr>
          <w:tblHeader w:val="true"/>
          <w:cantSplit w:val="true"/>
        </w:trPr>
        <w:tc>
          <w:tcPr>
            <w:tcW w:type="dxa" w:w="2466"/>
            <w:vAlign w:val="center"/>
            <w:shd w:fill="D9E6F5"/>
          </w:tcPr>
          <w:p>
            <w:pPr>
              <w:spacing w:after="0"/>
            </w:pPr>
            <w:r/>
            <w:r>
              <w:rPr>
                <w:rFonts w:ascii="Arial" w:hAnsi="Arial"/>
                <w:b/>
                <w:sz w:val="17"/>
              </w:rPr>
              <w:t>CVE year</w:t>
            </w:r>
          </w:p>
        </w:tc>
        <w:tc>
          <w:tcPr>
            <w:tcW w:type="dxa" w:w="2466"/>
            <w:vAlign w:val="center"/>
            <w:shd w:fill="D9E6F5"/>
          </w:tcPr>
          <w:p>
            <w:pPr>
              <w:spacing w:after="0"/>
            </w:pPr>
            <w:r/>
            <w:r>
              <w:rPr>
                <w:rFonts w:ascii="Arial" w:hAnsi="Arial"/>
                <w:b/>
                <w:sz w:val="17"/>
              </w:rPr>
              <w:t>Unique CVEs</w:t>
            </w:r>
          </w:p>
        </w:tc>
        <w:tc>
          <w:tcPr>
            <w:tcW w:type="dxa" w:w="2466"/>
            <w:vAlign w:val="center"/>
            <w:shd w:fill="D9E6F5"/>
          </w:tcPr>
          <w:p>
            <w:pPr>
              <w:spacing w:after="0"/>
            </w:pPr>
            <w:r/>
            <w:r>
              <w:rPr>
                <w:rFonts w:ascii="Arial" w:hAnsi="Arial"/>
                <w:b/>
                <w:sz w:val="17"/>
              </w:rPr>
              <w:t>Mean EPSS</w:t>
            </w:r>
          </w:p>
        </w:tc>
        <w:tc>
          <w:tcPr>
            <w:tcW w:type="dxa" w:w="2466"/>
            <w:vAlign w:val="center"/>
            <w:shd w:fill="D9E6F5"/>
          </w:tcPr>
          <w:p>
            <w:pPr>
              <w:spacing w:after="0"/>
            </w:pPr>
            <w:r/>
            <w:r>
              <w:rPr>
                <w:rFonts w:ascii="Arial" w:hAnsi="Arial"/>
                <w:b/>
                <w:sz w:val="17"/>
              </w:rPr>
              <w:t>Median EPSS</w:t>
            </w:r>
          </w:p>
        </w:tc>
      </w:tr>
      <w:tr>
        <w:trPr>
          <w:cantSplit w:val="true"/>
        </w:trPr>
        <w:tc>
          <w:tcPr>
            <w:tcW w:type="dxa" w:w="2466"/>
            <w:vAlign w:val="center"/>
          </w:tcPr>
          <w:p>
            <w:pPr>
              <w:spacing w:after="0"/>
            </w:pPr>
            <w:r/>
            <w:r>
              <w:rPr>
                <w:rFonts w:ascii="Arial" w:hAnsi="Arial"/>
                <w:b w:val="0"/>
                <w:sz w:val="17"/>
              </w:rPr>
              <w:t>2008</w:t>
            </w:r>
          </w:p>
        </w:tc>
        <w:tc>
          <w:tcPr>
            <w:tcW w:type="dxa" w:w="2466"/>
            <w:vAlign w:val="center"/>
          </w:tcPr>
          <w:p>
            <w:pPr>
              <w:spacing w:after="0"/>
            </w:pPr>
            <w:r/>
            <w:r>
              <w:rPr>
                <w:rFonts w:ascii="Arial" w:hAnsi="Arial"/>
                <w:b w:val="0"/>
                <w:sz w:val="17"/>
              </w:rPr>
              <w:t>1</w:t>
            </w:r>
          </w:p>
        </w:tc>
        <w:tc>
          <w:tcPr>
            <w:tcW w:type="dxa" w:w="2466"/>
            <w:vAlign w:val="center"/>
          </w:tcPr>
          <w:p>
            <w:pPr>
              <w:spacing w:after="0"/>
            </w:pPr>
            <w:r/>
            <w:r>
              <w:rPr>
                <w:rFonts w:ascii="Arial" w:hAnsi="Arial"/>
                <w:b w:val="0"/>
                <w:sz w:val="17"/>
              </w:rPr>
              <w:t>0.04015</w:t>
            </w:r>
          </w:p>
        </w:tc>
        <w:tc>
          <w:tcPr>
            <w:tcW w:type="dxa" w:w="2466"/>
            <w:vAlign w:val="center"/>
          </w:tcPr>
          <w:p>
            <w:pPr>
              <w:spacing w:after="0"/>
            </w:pPr>
            <w:r/>
            <w:r>
              <w:rPr>
                <w:rFonts w:ascii="Arial" w:hAnsi="Arial"/>
                <w:b w:val="0"/>
                <w:sz w:val="17"/>
              </w:rPr>
              <w:t>0.04015</w:t>
            </w:r>
          </w:p>
        </w:tc>
      </w:tr>
      <w:tr>
        <w:trPr>
          <w:cantSplit w:val="true"/>
        </w:trPr>
        <w:tc>
          <w:tcPr>
            <w:tcW w:type="dxa" w:w="2466"/>
            <w:vAlign w:val="center"/>
          </w:tcPr>
          <w:p>
            <w:pPr>
              <w:spacing w:after="0"/>
            </w:pPr>
            <w:r/>
            <w:r>
              <w:rPr>
                <w:rFonts w:ascii="Arial" w:hAnsi="Arial"/>
                <w:b w:val="0"/>
                <w:sz w:val="17"/>
              </w:rPr>
              <w:t>2009</w:t>
            </w:r>
          </w:p>
        </w:tc>
        <w:tc>
          <w:tcPr>
            <w:tcW w:type="dxa" w:w="2466"/>
            <w:vAlign w:val="center"/>
          </w:tcPr>
          <w:p>
            <w:pPr>
              <w:spacing w:after="0"/>
            </w:pPr>
            <w:r/>
            <w:r>
              <w:rPr>
                <w:rFonts w:ascii="Arial" w:hAnsi="Arial"/>
                <w:b w:val="0"/>
                <w:sz w:val="17"/>
              </w:rPr>
              <w:t>1</w:t>
            </w:r>
          </w:p>
        </w:tc>
        <w:tc>
          <w:tcPr>
            <w:tcW w:type="dxa" w:w="2466"/>
            <w:vAlign w:val="center"/>
          </w:tcPr>
          <w:p>
            <w:pPr>
              <w:spacing w:after="0"/>
            </w:pPr>
            <w:r/>
            <w:r>
              <w:rPr>
                <w:rFonts w:ascii="Arial" w:hAnsi="Arial"/>
                <w:b w:val="0"/>
                <w:sz w:val="17"/>
              </w:rPr>
              <w:t>0.93821</w:t>
            </w:r>
          </w:p>
        </w:tc>
        <w:tc>
          <w:tcPr>
            <w:tcW w:type="dxa" w:w="2466"/>
            <w:vAlign w:val="center"/>
          </w:tcPr>
          <w:p>
            <w:pPr>
              <w:spacing w:after="0"/>
            </w:pPr>
            <w:r/>
            <w:r>
              <w:rPr>
                <w:rFonts w:ascii="Arial" w:hAnsi="Arial"/>
                <w:b w:val="0"/>
                <w:sz w:val="17"/>
              </w:rPr>
              <w:t>0.93821</w:t>
            </w:r>
          </w:p>
        </w:tc>
      </w:tr>
      <w:tr>
        <w:trPr>
          <w:cantSplit w:val="true"/>
        </w:trPr>
        <w:tc>
          <w:tcPr>
            <w:tcW w:type="dxa" w:w="2466"/>
            <w:vAlign w:val="center"/>
          </w:tcPr>
          <w:p>
            <w:pPr>
              <w:spacing w:after="0"/>
            </w:pPr>
            <w:r/>
            <w:r>
              <w:rPr>
                <w:rFonts w:ascii="Arial" w:hAnsi="Arial"/>
                <w:b w:val="0"/>
                <w:sz w:val="17"/>
              </w:rPr>
              <w:t>2010</w:t>
            </w:r>
          </w:p>
        </w:tc>
        <w:tc>
          <w:tcPr>
            <w:tcW w:type="dxa" w:w="2466"/>
            <w:vAlign w:val="center"/>
          </w:tcPr>
          <w:p>
            <w:pPr>
              <w:spacing w:after="0"/>
            </w:pPr>
            <w:r/>
            <w:r>
              <w:rPr>
                <w:rFonts w:ascii="Arial" w:hAnsi="Arial"/>
                <w:b w:val="0"/>
                <w:sz w:val="17"/>
              </w:rPr>
              <w:t>2</w:t>
            </w:r>
          </w:p>
        </w:tc>
        <w:tc>
          <w:tcPr>
            <w:tcW w:type="dxa" w:w="2466"/>
            <w:vAlign w:val="center"/>
          </w:tcPr>
          <w:p>
            <w:pPr>
              <w:spacing w:after="0"/>
            </w:pPr>
            <w:r/>
            <w:r>
              <w:rPr>
                <w:rFonts w:ascii="Arial" w:hAnsi="Arial"/>
                <w:b w:val="0"/>
                <w:sz w:val="17"/>
              </w:rPr>
              <w:t>0.70186</w:t>
            </w:r>
          </w:p>
        </w:tc>
        <w:tc>
          <w:tcPr>
            <w:tcW w:type="dxa" w:w="2466"/>
            <w:vAlign w:val="center"/>
          </w:tcPr>
          <w:p>
            <w:pPr>
              <w:spacing w:after="0"/>
            </w:pPr>
            <w:r/>
            <w:r>
              <w:rPr>
                <w:rFonts w:ascii="Arial" w:hAnsi="Arial"/>
                <w:b w:val="0"/>
                <w:sz w:val="17"/>
              </w:rPr>
              <w:t>0.70186</w:t>
            </w:r>
          </w:p>
        </w:tc>
      </w:tr>
      <w:tr>
        <w:trPr>
          <w:cantSplit w:val="true"/>
        </w:trPr>
        <w:tc>
          <w:tcPr>
            <w:tcW w:type="dxa" w:w="2466"/>
            <w:vAlign w:val="center"/>
          </w:tcPr>
          <w:p>
            <w:pPr>
              <w:spacing w:after="0"/>
            </w:pPr>
            <w:r/>
            <w:r>
              <w:rPr>
                <w:rFonts w:ascii="Arial" w:hAnsi="Arial"/>
                <w:b w:val="0"/>
                <w:sz w:val="17"/>
              </w:rPr>
              <w:t>2012</w:t>
            </w:r>
          </w:p>
        </w:tc>
        <w:tc>
          <w:tcPr>
            <w:tcW w:type="dxa" w:w="2466"/>
            <w:vAlign w:val="center"/>
          </w:tcPr>
          <w:p>
            <w:pPr>
              <w:spacing w:after="0"/>
            </w:pPr>
            <w:r/>
            <w:r>
              <w:rPr>
                <w:rFonts w:ascii="Arial" w:hAnsi="Arial"/>
                <w:b w:val="0"/>
                <w:sz w:val="17"/>
              </w:rPr>
              <w:t>1</w:t>
            </w:r>
          </w:p>
        </w:tc>
        <w:tc>
          <w:tcPr>
            <w:tcW w:type="dxa" w:w="2466"/>
            <w:vAlign w:val="center"/>
          </w:tcPr>
          <w:p>
            <w:pPr>
              <w:spacing w:after="0"/>
            </w:pPr>
            <w:r/>
            <w:r>
              <w:rPr>
                <w:rFonts w:ascii="Arial" w:hAnsi="Arial"/>
                <w:b w:val="0"/>
                <w:sz w:val="17"/>
              </w:rPr>
              <w:t>0.0138</w:t>
            </w:r>
          </w:p>
        </w:tc>
        <w:tc>
          <w:tcPr>
            <w:tcW w:type="dxa" w:w="2466"/>
            <w:vAlign w:val="center"/>
          </w:tcPr>
          <w:p>
            <w:pPr>
              <w:spacing w:after="0"/>
            </w:pPr>
            <w:r/>
            <w:r>
              <w:rPr>
                <w:rFonts w:ascii="Arial" w:hAnsi="Arial"/>
                <w:b w:val="0"/>
                <w:sz w:val="17"/>
              </w:rPr>
              <w:t>0.0138</w:t>
            </w:r>
          </w:p>
        </w:tc>
      </w:tr>
      <w:tr>
        <w:trPr>
          <w:cantSplit w:val="true"/>
        </w:trPr>
        <w:tc>
          <w:tcPr>
            <w:tcW w:type="dxa" w:w="2466"/>
            <w:vAlign w:val="center"/>
          </w:tcPr>
          <w:p>
            <w:pPr>
              <w:spacing w:after="0"/>
            </w:pPr>
            <w:r/>
            <w:r>
              <w:rPr>
                <w:rFonts w:ascii="Arial" w:hAnsi="Arial"/>
                <w:b w:val="0"/>
                <w:sz w:val="17"/>
              </w:rPr>
              <w:t>2013</w:t>
            </w:r>
          </w:p>
        </w:tc>
        <w:tc>
          <w:tcPr>
            <w:tcW w:type="dxa" w:w="2466"/>
            <w:vAlign w:val="center"/>
          </w:tcPr>
          <w:p>
            <w:pPr>
              <w:spacing w:after="0"/>
            </w:pPr>
            <w:r/>
            <w:r>
              <w:rPr>
                <w:rFonts w:ascii="Arial" w:hAnsi="Arial"/>
                <w:b w:val="0"/>
                <w:sz w:val="17"/>
              </w:rPr>
              <w:t>3</w:t>
            </w:r>
          </w:p>
        </w:tc>
        <w:tc>
          <w:tcPr>
            <w:tcW w:type="dxa" w:w="2466"/>
            <w:vAlign w:val="center"/>
          </w:tcPr>
          <w:p>
            <w:pPr>
              <w:spacing w:after="0"/>
            </w:pPr>
            <w:r/>
            <w:r>
              <w:rPr>
                <w:rFonts w:ascii="Arial" w:hAnsi="Arial"/>
                <w:b w:val="0"/>
                <w:sz w:val="17"/>
              </w:rPr>
              <w:t>0.54307</w:t>
            </w:r>
          </w:p>
        </w:tc>
        <w:tc>
          <w:tcPr>
            <w:tcW w:type="dxa" w:w="2466"/>
            <w:vAlign w:val="center"/>
          </w:tcPr>
          <w:p>
            <w:pPr>
              <w:spacing w:after="0"/>
            </w:pPr>
            <w:r/>
            <w:r>
              <w:rPr>
                <w:rFonts w:ascii="Arial" w:hAnsi="Arial"/>
                <w:b w:val="0"/>
                <w:sz w:val="17"/>
              </w:rPr>
              <w:t>0.61542</w:t>
            </w:r>
          </w:p>
        </w:tc>
      </w:tr>
      <w:tr>
        <w:trPr>
          <w:cantSplit w:val="true"/>
        </w:trPr>
        <w:tc>
          <w:tcPr>
            <w:tcW w:type="dxa" w:w="2466"/>
            <w:vAlign w:val="center"/>
          </w:tcPr>
          <w:p>
            <w:pPr>
              <w:spacing w:after="0"/>
            </w:pPr>
            <w:r/>
            <w:r>
              <w:rPr>
                <w:rFonts w:ascii="Arial" w:hAnsi="Arial"/>
                <w:b w:val="0"/>
                <w:sz w:val="17"/>
              </w:rPr>
              <w:t>2014</w:t>
            </w:r>
          </w:p>
        </w:tc>
        <w:tc>
          <w:tcPr>
            <w:tcW w:type="dxa" w:w="2466"/>
            <w:vAlign w:val="center"/>
          </w:tcPr>
          <w:p>
            <w:pPr>
              <w:spacing w:after="0"/>
            </w:pPr>
            <w:r/>
            <w:r>
              <w:rPr>
                <w:rFonts w:ascii="Arial" w:hAnsi="Arial"/>
                <w:b w:val="0"/>
                <w:sz w:val="17"/>
              </w:rPr>
              <w:t>3</w:t>
            </w:r>
          </w:p>
        </w:tc>
        <w:tc>
          <w:tcPr>
            <w:tcW w:type="dxa" w:w="2466"/>
            <w:vAlign w:val="center"/>
          </w:tcPr>
          <w:p>
            <w:pPr>
              <w:spacing w:after="0"/>
            </w:pPr>
            <w:r/>
            <w:r>
              <w:rPr>
                <w:rFonts w:ascii="Arial" w:hAnsi="Arial"/>
                <w:b w:val="0"/>
                <w:sz w:val="17"/>
              </w:rPr>
              <w:t>0.8851</w:t>
            </w:r>
          </w:p>
        </w:tc>
        <w:tc>
          <w:tcPr>
            <w:tcW w:type="dxa" w:w="2466"/>
            <w:vAlign w:val="center"/>
          </w:tcPr>
          <w:p>
            <w:pPr>
              <w:spacing w:after="0"/>
            </w:pPr>
            <w:r/>
            <w:r>
              <w:rPr>
                <w:rFonts w:ascii="Arial" w:hAnsi="Arial"/>
                <w:b w:val="0"/>
                <w:sz w:val="17"/>
              </w:rPr>
              <w:t>0.94237</w:t>
            </w:r>
          </w:p>
        </w:tc>
      </w:tr>
      <w:tr>
        <w:trPr>
          <w:cantSplit w:val="true"/>
        </w:trPr>
        <w:tc>
          <w:tcPr>
            <w:tcW w:type="dxa" w:w="2466"/>
            <w:vAlign w:val="center"/>
          </w:tcPr>
          <w:p>
            <w:pPr>
              <w:spacing w:after="0"/>
            </w:pPr>
            <w:r/>
            <w:r>
              <w:rPr>
                <w:rFonts w:ascii="Arial" w:hAnsi="Arial"/>
                <w:b w:val="0"/>
                <w:sz w:val="17"/>
              </w:rPr>
              <w:t>2015</w:t>
            </w:r>
          </w:p>
        </w:tc>
        <w:tc>
          <w:tcPr>
            <w:tcW w:type="dxa" w:w="2466"/>
            <w:vAlign w:val="center"/>
          </w:tcPr>
          <w:p>
            <w:pPr>
              <w:spacing w:after="0"/>
            </w:pPr>
            <w:r/>
            <w:r>
              <w:rPr>
                <w:rFonts w:ascii="Arial" w:hAnsi="Arial"/>
                <w:b w:val="0"/>
                <w:sz w:val="17"/>
              </w:rPr>
              <w:t>4</w:t>
            </w:r>
          </w:p>
        </w:tc>
        <w:tc>
          <w:tcPr>
            <w:tcW w:type="dxa" w:w="2466"/>
            <w:vAlign w:val="center"/>
          </w:tcPr>
          <w:p>
            <w:pPr>
              <w:spacing w:after="0"/>
            </w:pPr>
            <w:r/>
            <w:r>
              <w:rPr>
                <w:rFonts w:ascii="Arial" w:hAnsi="Arial"/>
                <w:b w:val="0"/>
                <w:sz w:val="17"/>
              </w:rPr>
              <w:t>0.011168</w:t>
            </w:r>
          </w:p>
        </w:tc>
        <w:tc>
          <w:tcPr>
            <w:tcW w:type="dxa" w:w="2466"/>
            <w:vAlign w:val="center"/>
          </w:tcPr>
          <w:p>
            <w:pPr>
              <w:spacing w:after="0"/>
            </w:pPr>
            <w:r/>
            <w:r>
              <w:rPr>
                <w:rFonts w:ascii="Arial" w:hAnsi="Arial"/>
                <w:b w:val="0"/>
                <w:sz w:val="17"/>
              </w:rPr>
              <w:t>0.007235</w:t>
            </w:r>
          </w:p>
        </w:tc>
      </w:tr>
      <w:tr>
        <w:trPr>
          <w:cantSplit w:val="true"/>
        </w:trPr>
        <w:tc>
          <w:tcPr>
            <w:tcW w:type="dxa" w:w="2466"/>
            <w:vAlign w:val="center"/>
          </w:tcPr>
          <w:p>
            <w:pPr>
              <w:spacing w:after="0"/>
            </w:pPr>
            <w:r/>
            <w:r>
              <w:rPr>
                <w:rFonts w:ascii="Arial" w:hAnsi="Arial"/>
                <w:b w:val="0"/>
                <w:sz w:val="17"/>
              </w:rPr>
              <w:t>2016</w:t>
            </w:r>
          </w:p>
        </w:tc>
        <w:tc>
          <w:tcPr>
            <w:tcW w:type="dxa" w:w="2466"/>
            <w:vAlign w:val="center"/>
          </w:tcPr>
          <w:p>
            <w:pPr>
              <w:spacing w:after="0"/>
            </w:pPr>
            <w:r/>
            <w:r>
              <w:rPr>
                <w:rFonts w:ascii="Arial" w:hAnsi="Arial"/>
                <w:b w:val="0"/>
                <w:sz w:val="17"/>
              </w:rPr>
              <w:t>8</w:t>
            </w:r>
          </w:p>
        </w:tc>
        <w:tc>
          <w:tcPr>
            <w:tcW w:type="dxa" w:w="2466"/>
            <w:vAlign w:val="center"/>
          </w:tcPr>
          <w:p>
            <w:pPr>
              <w:spacing w:after="0"/>
            </w:pPr>
            <w:r/>
            <w:r>
              <w:rPr>
                <w:rFonts w:ascii="Arial" w:hAnsi="Arial"/>
                <w:b w:val="0"/>
                <w:sz w:val="17"/>
              </w:rPr>
              <w:t>0.21509</w:t>
            </w:r>
          </w:p>
        </w:tc>
        <w:tc>
          <w:tcPr>
            <w:tcW w:type="dxa" w:w="2466"/>
            <w:vAlign w:val="center"/>
          </w:tcPr>
          <w:p>
            <w:pPr>
              <w:spacing w:after="0"/>
            </w:pPr>
            <w:r/>
            <w:r>
              <w:rPr>
                <w:rFonts w:ascii="Arial" w:hAnsi="Arial"/>
                <w:b w:val="0"/>
                <w:sz w:val="17"/>
              </w:rPr>
              <w:t>0.021025</w:t>
            </w:r>
          </w:p>
        </w:tc>
      </w:tr>
      <w:tr>
        <w:trPr>
          <w:cantSplit w:val="true"/>
        </w:trPr>
        <w:tc>
          <w:tcPr>
            <w:tcW w:type="dxa" w:w="2466"/>
            <w:vAlign w:val="center"/>
          </w:tcPr>
          <w:p>
            <w:pPr>
              <w:spacing w:after="0"/>
            </w:pPr>
            <w:r/>
            <w:r>
              <w:rPr>
                <w:rFonts w:ascii="Arial" w:hAnsi="Arial"/>
                <w:b w:val="0"/>
                <w:sz w:val="17"/>
              </w:rPr>
              <w:t>2017</w:t>
            </w:r>
          </w:p>
        </w:tc>
        <w:tc>
          <w:tcPr>
            <w:tcW w:type="dxa" w:w="2466"/>
            <w:vAlign w:val="center"/>
          </w:tcPr>
          <w:p>
            <w:pPr>
              <w:spacing w:after="0"/>
            </w:pPr>
            <w:r/>
            <w:r>
              <w:rPr>
                <w:rFonts w:ascii="Arial" w:hAnsi="Arial"/>
                <w:b w:val="0"/>
                <w:sz w:val="17"/>
              </w:rPr>
              <w:t>13</w:t>
            </w:r>
          </w:p>
        </w:tc>
        <w:tc>
          <w:tcPr>
            <w:tcW w:type="dxa" w:w="2466"/>
            <w:vAlign w:val="center"/>
          </w:tcPr>
          <w:p>
            <w:pPr>
              <w:spacing w:after="0"/>
            </w:pPr>
            <w:r/>
            <w:r>
              <w:rPr>
                <w:rFonts w:ascii="Arial" w:hAnsi="Arial"/>
                <w:b w:val="0"/>
                <w:sz w:val="17"/>
              </w:rPr>
              <w:t>0.3966</w:t>
            </w:r>
          </w:p>
        </w:tc>
        <w:tc>
          <w:tcPr>
            <w:tcW w:type="dxa" w:w="2466"/>
            <w:vAlign w:val="center"/>
          </w:tcPr>
          <w:p>
            <w:pPr>
              <w:spacing w:after="0"/>
            </w:pPr>
            <w:r/>
            <w:r>
              <w:rPr>
                <w:rFonts w:ascii="Arial" w:hAnsi="Arial"/>
                <w:b w:val="0"/>
                <w:sz w:val="17"/>
              </w:rPr>
              <w:t>0.05142</w:t>
            </w:r>
          </w:p>
        </w:tc>
      </w:tr>
      <w:tr>
        <w:trPr>
          <w:cantSplit w:val="true"/>
        </w:trPr>
        <w:tc>
          <w:tcPr>
            <w:tcW w:type="dxa" w:w="2466"/>
            <w:vAlign w:val="center"/>
          </w:tcPr>
          <w:p>
            <w:pPr>
              <w:spacing w:after="0"/>
            </w:pPr>
            <w:r/>
            <w:r>
              <w:rPr>
                <w:rFonts w:ascii="Arial" w:hAnsi="Arial"/>
                <w:b w:val="0"/>
                <w:sz w:val="17"/>
              </w:rPr>
              <w:t>2018</w:t>
            </w:r>
          </w:p>
        </w:tc>
        <w:tc>
          <w:tcPr>
            <w:tcW w:type="dxa" w:w="2466"/>
            <w:vAlign w:val="center"/>
          </w:tcPr>
          <w:p>
            <w:pPr>
              <w:spacing w:after="0"/>
            </w:pPr>
            <w:r/>
            <w:r>
              <w:rPr>
                <w:rFonts w:ascii="Arial" w:hAnsi="Arial"/>
                <w:b w:val="0"/>
                <w:sz w:val="17"/>
              </w:rPr>
              <w:t>49</w:t>
            </w:r>
          </w:p>
        </w:tc>
        <w:tc>
          <w:tcPr>
            <w:tcW w:type="dxa" w:w="2466"/>
            <w:vAlign w:val="center"/>
          </w:tcPr>
          <w:p>
            <w:pPr>
              <w:spacing w:after="0"/>
            </w:pPr>
            <w:r/>
            <w:r>
              <w:rPr>
                <w:rFonts w:ascii="Arial" w:hAnsi="Arial"/>
                <w:b w:val="0"/>
                <w:sz w:val="17"/>
              </w:rPr>
              <w:t>0.17916</w:t>
            </w:r>
          </w:p>
        </w:tc>
        <w:tc>
          <w:tcPr>
            <w:tcW w:type="dxa" w:w="2466"/>
            <w:vAlign w:val="center"/>
          </w:tcPr>
          <w:p>
            <w:pPr>
              <w:spacing w:after="0"/>
            </w:pPr>
            <w:r/>
            <w:r>
              <w:rPr>
                <w:rFonts w:ascii="Arial" w:hAnsi="Arial"/>
                <w:b w:val="0"/>
                <w:sz w:val="17"/>
              </w:rPr>
              <w:t>0.00578</w:t>
            </w:r>
          </w:p>
        </w:tc>
      </w:tr>
      <w:tr>
        <w:trPr>
          <w:cantSplit w:val="true"/>
        </w:trPr>
        <w:tc>
          <w:tcPr>
            <w:tcW w:type="dxa" w:w="2466"/>
            <w:vAlign w:val="center"/>
          </w:tcPr>
          <w:p>
            <w:pPr>
              <w:spacing w:after="0"/>
            </w:pPr>
            <w:r/>
            <w:r>
              <w:rPr>
                <w:rFonts w:ascii="Arial" w:hAnsi="Arial"/>
                <w:b w:val="0"/>
                <w:sz w:val="17"/>
              </w:rPr>
              <w:t>2019</w:t>
            </w:r>
          </w:p>
        </w:tc>
        <w:tc>
          <w:tcPr>
            <w:tcW w:type="dxa" w:w="2466"/>
            <w:vAlign w:val="center"/>
          </w:tcPr>
          <w:p>
            <w:pPr>
              <w:spacing w:after="0"/>
            </w:pPr>
            <w:r/>
            <w:r>
              <w:rPr>
                <w:rFonts w:ascii="Arial" w:hAnsi="Arial"/>
                <w:b w:val="0"/>
                <w:sz w:val="17"/>
              </w:rPr>
              <w:t>28</w:t>
            </w:r>
          </w:p>
        </w:tc>
        <w:tc>
          <w:tcPr>
            <w:tcW w:type="dxa" w:w="2466"/>
            <w:vAlign w:val="center"/>
          </w:tcPr>
          <w:p>
            <w:pPr>
              <w:spacing w:after="0"/>
            </w:pPr>
            <w:r/>
            <w:r>
              <w:rPr>
                <w:rFonts w:ascii="Arial" w:hAnsi="Arial"/>
                <w:b w:val="0"/>
                <w:sz w:val="17"/>
              </w:rPr>
              <w:t>0.25618</w:t>
            </w:r>
          </w:p>
        </w:tc>
        <w:tc>
          <w:tcPr>
            <w:tcW w:type="dxa" w:w="2466"/>
            <w:vAlign w:val="center"/>
          </w:tcPr>
          <w:p>
            <w:pPr>
              <w:spacing w:after="0"/>
            </w:pPr>
            <w:r/>
            <w:r>
              <w:rPr>
                <w:rFonts w:ascii="Arial" w:hAnsi="Arial"/>
                <w:b w:val="0"/>
                <w:sz w:val="17"/>
              </w:rPr>
              <w:t>0.015925</w:t>
            </w:r>
          </w:p>
        </w:tc>
      </w:tr>
      <w:tr>
        <w:trPr>
          <w:cantSplit w:val="true"/>
        </w:trPr>
        <w:tc>
          <w:tcPr>
            <w:tcW w:type="dxa" w:w="2466"/>
            <w:vAlign w:val="center"/>
          </w:tcPr>
          <w:p>
            <w:pPr>
              <w:spacing w:after="0"/>
            </w:pPr>
            <w:r/>
            <w:r>
              <w:rPr>
                <w:rFonts w:ascii="Arial" w:hAnsi="Arial"/>
                <w:b w:val="0"/>
                <w:sz w:val="17"/>
              </w:rPr>
              <w:t>2020</w:t>
            </w:r>
          </w:p>
        </w:tc>
        <w:tc>
          <w:tcPr>
            <w:tcW w:type="dxa" w:w="2466"/>
            <w:vAlign w:val="center"/>
          </w:tcPr>
          <w:p>
            <w:pPr>
              <w:spacing w:after="0"/>
            </w:pPr>
            <w:r/>
            <w:r>
              <w:rPr>
                <w:rFonts w:ascii="Arial" w:hAnsi="Arial"/>
                <w:b w:val="0"/>
                <w:sz w:val="17"/>
              </w:rPr>
              <w:t>37</w:t>
            </w:r>
          </w:p>
        </w:tc>
        <w:tc>
          <w:tcPr>
            <w:tcW w:type="dxa" w:w="2466"/>
            <w:vAlign w:val="center"/>
          </w:tcPr>
          <w:p>
            <w:pPr>
              <w:spacing w:after="0"/>
            </w:pPr>
            <w:r/>
            <w:r>
              <w:rPr>
                <w:rFonts w:ascii="Arial" w:hAnsi="Arial"/>
                <w:b w:val="0"/>
                <w:sz w:val="17"/>
              </w:rPr>
              <w:t>0.23817</w:t>
            </w:r>
          </w:p>
        </w:tc>
        <w:tc>
          <w:tcPr>
            <w:tcW w:type="dxa" w:w="2466"/>
            <w:vAlign w:val="center"/>
          </w:tcPr>
          <w:p>
            <w:pPr>
              <w:spacing w:after="0"/>
            </w:pPr>
            <w:r/>
            <w:r>
              <w:rPr>
                <w:rFonts w:ascii="Arial" w:hAnsi="Arial"/>
                <w:b w:val="0"/>
                <w:sz w:val="17"/>
              </w:rPr>
              <w:t>0.00392</w:t>
            </w:r>
          </w:p>
        </w:tc>
      </w:tr>
      <w:tr>
        <w:trPr>
          <w:cantSplit w:val="true"/>
        </w:trPr>
        <w:tc>
          <w:tcPr>
            <w:tcW w:type="dxa" w:w="2466"/>
            <w:vAlign w:val="center"/>
          </w:tcPr>
          <w:p>
            <w:pPr>
              <w:spacing w:after="0"/>
            </w:pPr>
            <w:r/>
            <w:r>
              <w:rPr>
                <w:rFonts w:ascii="Arial" w:hAnsi="Arial"/>
                <w:b w:val="0"/>
                <w:sz w:val="17"/>
              </w:rPr>
              <w:t>2021</w:t>
            </w:r>
          </w:p>
        </w:tc>
        <w:tc>
          <w:tcPr>
            <w:tcW w:type="dxa" w:w="2466"/>
            <w:vAlign w:val="center"/>
          </w:tcPr>
          <w:p>
            <w:pPr>
              <w:spacing w:after="0"/>
            </w:pPr>
            <w:r/>
            <w:r>
              <w:rPr>
                <w:rFonts w:ascii="Arial" w:hAnsi="Arial"/>
                <w:b w:val="0"/>
                <w:sz w:val="17"/>
              </w:rPr>
              <w:t>50</w:t>
            </w:r>
          </w:p>
        </w:tc>
        <w:tc>
          <w:tcPr>
            <w:tcW w:type="dxa" w:w="2466"/>
            <w:vAlign w:val="center"/>
          </w:tcPr>
          <w:p>
            <w:pPr>
              <w:spacing w:after="0"/>
            </w:pPr>
            <w:r/>
            <w:r>
              <w:rPr>
                <w:rFonts w:ascii="Arial" w:hAnsi="Arial"/>
                <w:b w:val="0"/>
                <w:sz w:val="17"/>
              </w:rPr>
              <w:t>0.35679</w:t>
            </w:r>
          </w:p>
        </w:tc>
        <w:tc>
          <w:tcPr>
            <w:tcW w:type="dxa" w:w="2466"/>
            <w:vAlign w:val="center"/>
          </w:tcPr>
          <w:p>
            <w:pPr>
              <w:spacing w:after="0"/>
            </w:pPr>
            <w:r/>
            <w:r>
              <w:rPr>
                <w:rFonts w:ascii="Arial" w:hAnsi="Arial"/>
                <w:b w:val="0"/>
                <w:sz w:val="17"/>
              </w:rPr>
              <w:t>0.04318</w:t>
            </w:r>
          </w:p>
        </w:tc>
      </w:tr>
      <w:tr>
        <w:trPr>
          <w:cantSplit w:val="true"/>
        </w:trPr>
        <w:tc>
          <w:tcPr>
            <w:tcW w:type="dxa" w:w="2466"/>
            <w:vAlign w:val="center"/>
          </w:tcPr>
          <w:p>
            <w:pPr>
              <w:spacing w:after="0"/>
            </w:pPr>
            <w:r/>
            <w:r>
              <w:rPr>
                <w:rFonts w:ascii="Arial" w:hAnsi="Arial"/>
                <w:b w:val="0"/>
                <w:sz w:val="17"/>
              </w:rPr>
              <w:t>2022</w:t>
            </w:r>
          </w:p>
        </w:tc>
        <w:tc>
          <w:tcPr>
            <w:tcW w:type="dxa" w:w="2466"/>
            <w:vAlign w:val="center"/>
          </w:tcPr>
          <w:p>
            <w:pPr>
              <w:spacing w:after="0"/>
            </w:pPr>
            <w:r/>
            <w:r>
              <w:rPr>
                <w:rFonts w:ascii="Arial" w:hAnsi="Arial"/>
                <w:b w:val="0"/>
                <w:sz w:val="17"/>
              </w:rPr>
              <w:t>111</w:t>
            </w:r>
          </w:p>
        </w:tc>
        <w:tc>
          <w:tcPr>
            <w:tcW w:type="dxa" w:w="2466"/>
            <w:vAlign w:val="center"/>
          </w:tcPr>
          <w:p>
            <w:pPr>
              <w:spacing w:after="0"/>
            </w:pPr>
            <w:r/>
            <w:r>
              <w:rPr>
                <w:rFonts w:ascii="Arial" w:hAnsi="Arial"/>
                <w:b w:val="0"/>
                <w:sz w:val="17"/>
              </w:rPr>
              <w:t>0.13996</w:t>
            </w:r>
          </w:p>
        </w:tc>
        <w:tc>
          <w:tcPr>
            <w:tcW w:type="dxa" w:w="2466"/>
            <w:vAlign w:val="center"/>
          </w:tcPr>
          <w:p>
            <w:pPr>
              <w:spacing w:after="0"/>
            </w:pPr>
            <w:r/>
            <w:r>
              <w:rPr>
                <w:rFonts w:ascii="Arial" w:hAnsi="Arial"/>
                <w:b w:val="0"/>
                <w:sz w:val="17"/>
              </w:rPr>
              <w:t>0.00244</w:t>
            </w:r>
          </w:p>
        </w:tc>
      </w:tr>
      <w:tr>
        <w:trPr>
          <w:cantSplit w:val="true"/>
        </w:trPr>
        <w:tc>
          <w:tcPr>
            <w:tcW w:type="dxa" w:w="2466"/>
            <w:vAlign w:val="center"/>
          </w:tcPr>
          <w:p>
            <w:pPr>
              <w:spacing w:after="0"/>
            </w:pPr>
            <w:r/>
            <w:r>
              <w:rPr>
                <w:rFonts w:ascii="Arial" w:hAnsi="Arial"/>
                <w:b w:val="0"/>
                <w:sz w:val="17"/>
              </w:rPr>
              <w:t>2023</w:t>
            </w:r>
          </w:p>
        </w:tc>
        <w:tc>
          <w:tcPr>
            <w:tcW w:type="dxa" w:w="2466"/>
            <w:vAlign w:val="center"/>
          </w:tcPr>
          <w:p>
            <w:pPr>
              <w:spacing w:after="0"/>
            </w:pPr>
            <w:r/>
            <w:r>
              <w:rPr>
                <w:rFonts w:ascii="Arial" w:hAnsi="Arial"/>
                <w:b w:val="0"/>
                <w:sz w:val="17"/>
              </w:rPr>
              <w:t>329</w:t>
            </w:r>
          </w:p>
        </w:tc>
        <w:tc>
          <w:tcPr>
            <w:tcW w:type="dxa" w:w="2466"/>
            <w:vAlign w:val="center"/>
          </w:tcPr>
          <w:p>
            <w:pPr>
              <w:spacing w:after="0"/>
            </w:pPr>
            <w:r/>
            <w:r>
              <w:rPr>
                <w:rFonts w:ascii="Arial" w:hAnsi="Arial"/>
                <w:b w:val="0"/>
                <w:sz w:val="17"/>
              </w:rPr>
              <w:t>0.11496</w:t>
            </w:r>
          </w:p>
        </w:tc>
        <w:tc>
          <w:tcPr>
            <w:tcW w:type="dxa" w:w="2466"/>
            <w:vAlign w:val="center"/>
          </w:tcPr>
          <w:p>
            <w:pPr>
              <w:spacing w:after="0"/>
            </w:pPr>
            <w:r/>
            <w:r>
              <w:rPr>
                <w:rFonts w:ascii="Arial" w:hAnsi="Arial"/>
                <w:b w:val="0"/>
                <w:sz w:val="17"/>
              </w:rPr>
              <w:t>0.00101</w:t>
            </w:r>
          </w:p>
        </w:tc>
      </w:tr>
      <w:tr>
        <w:trPr>
          <w:cantSplit w:val="true"/>
        </w:trPr>
        <w:tc>
          <w:tcPr>
            <w:tcW w:type="dxa" w:w="2466"/>
            <w:vAlign w:val="center"/>
          </w:tcPr>
          <w:p>
            <w:pPr>
              <w:spacing w:after="0"/>
            </w:pPr>
            <w:r/>
            <w:r>
              <w:rPr>
                <w:rFonts w:ascii="Arial" w:hAnsi="Arial"/>
                <w:b w:val="0"/>
                <w:sz w:val="17"/>
              </w:rPr>
              <w:t>2024</w:t>
            </w:r>
          </w:p>
        </w:tc>
        <w:tc>
          <w:tcPr>
            <w:tcW w:type="dxa" w:w="2466"/>
            <w:vAlign w:val="center"/>
          </w:tcPr>
          <w:p>
            <w:pPr>
              <w:spacing w:after="0"/>
            </w:pPr>
            <w:r/>
            <w:r>
              <w:rPr>
                <w:rFonts w:ascii="Arial" w:hAnsi="Arial"/>
                <w:b w:val="0"/>
                <w:sz w:val="17"/>
              </w:rPr>
              <w:t>1770</w:t>
            </w:r>
          </w:p>
        </w:tc>
        <w:tc>
          <w:tcPr>
            <w:tcW w:type="dxa" w:w="2466"/>
            <w:vAlign w:val="center"/>
          </w:tcPr>
          <w:p>
            <w:pPr>
              <w:spacing w:after="0"/>
            </w:pPr>
            <w:r/>
            <w:r>
              <w:rPr>
                <w:rFonts w:ascii="Arial" w:hAnsi="Arial"/>
                <w:b w:val="0"/>
                <w:sz w:val="17"/>
              </w:rPr>
              <w:t>0.028388</w:t>
            </w:r>
          </w:p>
        </w:tc>
        <w:tc>
          <w:tcPr>
            <w:tcW w:type="dxa" w:w="2466"/>
            <w:vAlign w:val="center"/>
          </w:tcPr>
          <w:p>
            <w:pPr>
              <w:spacing w:after="0"/>
            </w:pPr>
            <w:r/>
            <w:r>
              <w:rPr>
                <w:rFonts w:ascii="Arial" w:hAnsi="Arial"/>
                <w:b w:val="0"/>
                <w:sz w:val="17"/>
              </w:rPr>
              <w:t>0.00043</w:t>
            </w:r>
          </w:p>
        </w:tc>
      </w:tr>
      <w:tr>
        <w:trPr>
          <w:cantSplit w:val="true"/>
        </w:trPr>
        <w:tc>
          <w:tcPr>
            <w:tcW w:type="dxa" w:w="2466"/>
            <w:vAlign w:val="center"/>
          </w:tcPr>
          <w:p>
            <w:pPr>
              <w:spacing w:after="0"/>
            </w:pPr>
            <w:r/>
            <w:r>
              <w:rPr>
                <w:rFonts w:ascii="Arial" w:hAnsi="Arial"/>
                <w:b w:val="0"/>
                <w:sz w:val="17"/>
              </w:rPr>
              <w:t>2025</w:t>
            </w:r>
          </w:p>
        </w:tc>
        <w:tc>
          <w:tcPr>
            <w:tcW w:type="dxa" w:w="2466"/>
            <w:vAlign w:val="center"/>
          </w:tcPr>
          <w:p>
            <w:pPr>
              <w:spacing w:after="0"/>
            </w:pPr>
            <w:r/>
            <w:r>
              <w:rPr>
                <w:rFonts w:ascii="Arial" w:hAnsi="Arial"/>
                <w:b w:val="0"/>
                <w:sz w:val="17"/>
              </w:rPr>
              <w:t>1777</w:t>
            </w:r>
          </w:p>
        </w:tc>
        <w:tc>
          <w:tcPr>
            <w:tcW w:type="dxa" w:w="2466"/>
            <w:vAlign w:val="center"/>
          </w:tcPr>
          <w:p>
            <w:pPr>
              <w:spacing w:after="0"/>
            </w:pPr>
            <w:r/>
            <w:r>
              <w:rPr>
                <w:rFonts w:ascii="Arial" w:hAnsi="Arial"/>
                <w:b w:val="0"/>
                <w:sz w:val="17"/>
              </w:rPr>
              <w:t>0.0019859</w:t>
            </w:r>
          </w:p>
        </w:tc>
        <w:tc>
          <w:tcPr>
            <w:tcW w:type="dxa" w:w="2466"/>
            <w:vAlign w:val="center"/>
          </w:tcPr>
          <w:p>
            <w:pPr>
              <w:spacing w:after="0"/>
            </w:pPr>
            <w:r/>
            <w:r>
              <w:rPr>
                <w:rFonts w:ascii="Arial" w:hAnsi="Arial"/>
                <w:b w:val="0"/>
                <w:sz w:val="17"/>
              </w:rPr>
              <w:t>0.00043</w:t>
            </w:r>
          </w:p>
        </w:tc>
      </w:tr>
    </w:tbl>
    <w:p>
      <w:pPr>
        <w:spacing w:after="40"/>
      </w:pPr>
    </w:p>
    <w:p>
      <w:pPr>
        <w:spacing w:after="180"/>
      </w:pPr>
      <w:r>
        <w:rPr>
          <w:b/>
        </w:rPr>
        <w:t>Table notes:</w:t>
      </w:r>
      <w:r>
        <w:t xml:space="preserve"> “CVE year” is the year written inside the CVE identifier, not the year of the social-media post. Each CVE is counted once. Mean EPSS is the average for that year group, while median EPSS is the middle score. Results based on only a few CVEs are less dependable and should not be treated as a general pattern.</w:t>
      </w:r>
    </w:p>
    <w:p>
      <w:pPr>
        <w:pStyle w:val="Heading1"/>
      </w:pPr>
      <w:r>
        <w:t>10. Monthly Collection Pattern</w:t>
      </w:r>
    </w:p>
    <w:tbl>
      <w:tblPr>
        <w:tblStyle w:val="TableGrid"/>
        <w:tblW w:type="auto" w:w="0"/>
        <w:tblLayout w:type="autofit"/>
        <w:tblLook w:firstColumn="1" w:firstRow="1" w:lastColumn="0" w:lastRow="0" w:noHBand="0" w:noVBand="1" w:val="04A0"/>
      </w:tblPr>
      <w:tblGrid>
        <w:gridCol w:w="1644"/>
        <w:gridCol w:w="1644"/>
        <w:gridCol w:w="1644"/>
        <w:gridCol w:w="1644"/>
        <w:gridCol w:w="1644"/>
        <w:gridCol w:w="1644"/>
      </w:tblGrid>
      <w:tr>
        <w:trPr>
          <w:tblHeader w:val="true"/>
          <w:cantSplit w:val="true"/>
        </w:trPr>
        <w:tc>
          <w:tcPr>
            <w:tcW w:type="dxa" w:w="1644"/>
            <w:vAlign w:val="center"/>
            <w:shd w:fill="D9E6F5"/>
          </w:tcPr>
          <w:p>
            <w:pPr>
              <w:spacing w:after="0"/>
            </w:pPr>
            <w:r/>
            <w:r>
              <w:rPr>
                <w:rFonts w:ascii="Arial" w:hAnsi="Arial"/>
                <w:b/>
                <w:sz w:val="15"/>
              </w:rPr>
              <w:t>Month</w:t>
            </w:r>
          </w:p>
        </w:tc>
        <w:tc>
          <w:tcPr>
            <w:tcW w:type="dxa" w:w="1644"/>
            <w:vAlign w:val="center"/>
            <w:shd w:fill="D9E6F5"/>
          </w:tcPr>
          <w:p>
            <w:pPr>
              <w:spacing w:after="0"/>
            </w:pPr>
            <w:r/>
            <w:r>
              <w:rPr>
                <w:rFonts w:ascii="Arial" w:hAnsi="Arial"/>
                <w:b/>
                <w:sz w:val="15"/>
              </w:rPr>
              <w:t>BleepingComputer rows</w:t>
            </w:r>
          </w:p>
        </w:tc>
        <w:tc>
          <w:tcPr>
            <w:tcW w:type="dxa" w:w="1644"/>
            <w:vAlign w:val="center"/>
            <w:shd w:fill="D9E6F5"/>
          </w:tcPr>
          <w:p>
            <w:pPr>
              <w:spacing w:after="0"/>
            </w:pPr>
            <w:r/>
            <w:r>
              <w:rPr>
                <w:rFonts w:ascii="Arial" w:hAnsi="Arial"/>
                <w:b/>
                <w:sz w:val="15"/>
              </w:rPr>
              <w:t>ExploitDB rows</w:t>
            </w:r>
          </w:p>
        </w:tc>
        <w:tc>
          <w:tcPr>
            <w:tcW w:type="dxa" w:w="1644"/>
            <w:vAlign w:val="center"/>
            <w:shd w:fill="D9E6F5"/>
          </w:tcPr>
          <w:p>
            <w:pPr>
              <w:spacing w:after="0"/>
            </w:pPr>
            <w:r/>
            <w:r>
              <w:rPr>
                <w:rFonts w:ascii="Arial" w:hAnsi="Arial"/>
                <w:b/>
                <w:sz w:val="15"/>
              </w:rPr>
              <w:t>HackerNews rows</w:t>
            </w:r>
          </w:p>
        </w:tc>
        <w:tc>
          <w:tcPr>
            <w:tcW w:type="dxa" w:w="1644"/>
            <w:vAlign w:val="center"/>
            <w:shd w:fill="D9E6F5"/>
          </w:tcPr>
          <w:p>
            <w:pPr>
              <w:spacing w:after="0"/>
            </w:pPr>
            <w:r/>
            <w:r>
              <w:rPr>
                <w:rFonts w:ascii="Arial" w:hAnsi="Arial"/>
                <w:b/>
                <w:sz w:val="15"/>
              </w:rPr>
              <w:t>Mastodon rows</w:t>
            </w:r>
          </w:p>
        </w:tc>
        <w:tc>
          <w:tcPr>
            <w:tcW w:type="dxa" w:w="1644"/>
            <w:vAlign w:val="center"/>
            <w:shd w:fill="D9E6F5"/>
          </w:tcPr>
          <w:p>
            <w:pPr>
              <w:spacing w:after="0"/>
            </w:pPr>
            <w:r/>
            <w:r>
              <w:rPr>
                <w:rFonts w:ascii="Arial" w:hAnsi="Arial"/>
                <w:b/>
                <w:sz w:val="15"/>
              </w:rPr>
              <w:t>Reddit rows</w:t>
            </w:r>
          </w:p>
        </w:tc>
      </w:tr>
      <w:tr>
        <w:trPr>
          <w:cantSplit w:val="true"/>
        </w:trPr>
        <w:tc>
          <w:tcPr>
            <w:tcW w:type="dxa" w:w="1644"/>
            <w:vAlign w:val="center"/>
          </w:tcPr>
          <w:p>
            <w:pPr>
              <w:spacing w:after="0"/>
            </w:pPr>
            <w:r/>
            <w:r>
              <w:rPr>
                <w:rFonts w:ascii="Arial" w:hAnsi="Arial"/>
                <w:b w:val="0"/>
                <w:sz w:val="15"/>
              </w:rPr>
              <w:t>2021-11</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1</w:t>
            </w:r>
          </w:p>
        </w:tc>
      </w:tr>
      <w:tr>
        <w:trPr>
          <w:cantSplit w:val="true"/>
        </w:trPr>
        <w:tc>
          <w:tcPr>
            <w:tcW w:type="dxa" w:w="1644"/>
            <w:vAlign w:val="center"/>
          </w:tcPr>
          <w:p>
            <w:pPr>
              <w:spacing w:after="0"/>
            </w:pPr>
            <w:r/>
            <w:r>
              <w:rPr>
                <w:rFonts w:ascii="Arial" w:hAnsi="Arial"/>
                <w:b w:val="0"/>
                <w:sz w:val="15"/>
              </w:rPr>
              <w:t>2021-12</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6</w:t>
            </w:r>
          </w:p>
        </w:tc>
      </w:tr>
      <w:tr>
        <w:trPr>
          <w:cantSplit w:val="true"/>
        </w:trPr>
        <w:tc>
          <w:tcPr>
            <w:tcW w:type="dxa" w:w="1644"/>
            <w:vAlign w:val="center"/>
          </w:tcPr>
          <w:p>
            <w:pPr>
              <w:spacing w:after="0"/>
            </w:pPr>
            <w:r/>
            <w:r>
              <w:rPr>
                <w:rFonts w:ascii="Arial" w:hAnsi="Arial"/>
                <w:b w:val="0"/>
                <w:sz w:val="15"/>
              </w:rPr>
              <w:t>2022-01</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2</w:t>
            </w:r>
          </w:p>
        </w:tc>
      </w:tr>
      <w:tr>
        <w:trPr>
          <w:cantSplit w:val="true"/>
        </w:trPr>
        <w:tc>
          <w:tcPr>
            <w:tcW w:type="dxa" w:w="1644"/>
            <w:vAlign w:val="center"/>
          </w:tcPr>
          <w:p>
            <w:pPr>
              <w:spacing w:after="0"/>
            </w:pPr>
            <w:r/>
            <w:r>
              <w:rPr>
                <w:rFonts w:ascii="Arial" w:hAnsi="Arial"/>
                <w:b w:val="0"/>
                <w:sz w:val="15"/>
              </w:rPr>
              <w:t>2022-11</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2</w:t>
            </w:r>
          </w:p>
        </w:tc>
      </w:tr>
      <w:tr>
        <w:trPr>
          <w:cantSplit w:val="true"/>
        </w:trPr>
        <w:tc>
          <w:tcPr>
            <w:tcW w:type="dxa" w:w="1644"/>
            <w:vAlign w:val="center"/>
          </w:tcPr>
          <w:p>
            <w:pPr>
              <w:spacing w:after="0"/>
            </w:pPr>
            <w:r/>
            <w:r>
              <w:rPr>
                <w:rFonts w:ascii="Arial" w:hAnsi="Arial"/>
                <w:b w:val="0"/>
                <w:sz w:val="15"/>
              </w:rPr>
              <w:t>2023-01</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6</w:t>
            </w:r>
          </w:p>
        </w:tc>
      </w:tr>
      <w:tr>
        <w:trPr>
          <w:cantSplit w:val="true"/>
        </w:trPr>
        <w:tc>
          <w:tcPr>
            <w:tcW w:type="dxa" w:w="1644"/>
            <w:vAlign w:val="center"/>
          </w:tcPr>
          <w:p>
            <w:pPr>
              <w:spacing w:after="0"/>
            </w:pPr>
            <w:r/>
            <w:r>
              <w:rPr>
                <w:rFonts w:ascii="Arial" w:hAnsi="Arial"/>
                <w:b w:val="0"/>
                <w:sz w:val="15"/>
              </w:rPr>
              <w:t>2023-02</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6</w:t>
            </w:r>
          </w:p>
        </w:tc>
      </w:tr>
      <w:tr>
        <w:trPr>
          <w:cantSplit w:val="true"/>
        </w:trPr>
        <w:tc>
          <w:tcPr>
            <w:tcW w:type="dxa" w:w="1644"/>
            <w:vAlign w:val="center"/>
          </w:tcPr>
          <w:p>
            <w:pPr>
              <w:spacing w:after="0"/>
            </w:pPr>
            <w:r/>
            <w:r>
              <w:rPr>
                <w:rFonts w:ascii="Arial" w:hAnsi="Arial"/>
                <w:b w:val="0"/>
                <w:sz w:val="15"/>
              </w:rPr>
              <w:t>2023-03</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5</w:t>
            </w:r>
          </w:p>
        </w:tc>
      </w:tr>
      <w:tr>
        <w:trPr>
          <w:cantSplit w:val="true"/>
        </w:trPr>
        <w:tc>
          <w:tcPr>
            <w:tcW w:type="dxa" w:w="1644"/>
            <w:vAlign w:val="center"/>
          </w:tcPr>
          <w:p>
            <w:pPr>
              <w:spacing w:after="0"/>
            </w:pPr>
            <w:r/>
            <w:r>
              <w:rPr>
                <w:rFonts w:ascii="Arial" w:hAnsi="Arial"/>
                <w:b w:val="0"/>
                <w:sz w:val="15"/>
              </w:rPr>
              <w:t>2023-04</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5</w:t>
            </w:r>
          </w:p>
        </w:tc>
      </w:tr>
      <w:tr>
        <w:trPr>
          <w:cantSplit w:val="true"/>
        </w:trPr>
        <w:tc>
          <w:tcPr>
            <w:tcW w:type="dxa" w:w="1644"/>
            <w:vAlign w:val="center"/>
          </w:tcPr>
          <w:p>
            <w:pPr>
              <w:spacing w:after="0"/>
            </w:pPr>
            <w:r/>
            <w:r>
              <w:rPr>
                <w:rFonts w:ascii="Arial" w:hAnsi="Arial"/>
                <w:b w:val="0"/>
                <w:sz w:val="15"/>
              </w:rPr>
              <w:t>2023-05</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41</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13</w:t>
            </w:r>
          </w:p>
        </w:tc>
      </w:tr>
      <w:tr>
        <w:trPr>
          <w:cantSplit w:val="true"/>
        </w:trPr>
        <w:tc>
          <w:tcPr>
            <w:tcW w:type="dxa" w:w="1644"/>
            <w:vAlign w:val="center"/>
          </w:tcPr>
          <w:p>
            <w:pPr>
              <w:spacing w:after="0"/>
            </w:pPr>
            <w:r/>
            <w:r>
              <w:rPr>
                <w:rFonts w:ascii="Arial" w:hAnsi="Arial"/>
                <w:b w:val="0"/>
                <w:sz w:val="15"/>
              </w:rPr>
              <w:t>2023-06</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23</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r>
      <w:tr>
        <w:trPr>
          <w:cantSplit w:val="true"/>
        </w:trPr>
        <w:tc>
          <w:tcPr>
            <w:tcW w:type="dxa" w:w="1644"/>
            <w:vAlign w:val="center"/>
          </w:tcPr>
          <w:p>
            <w:pPr>
              <w:spacing w:after="0"/>
            </w:pPr>
            <w:r/>
            <w:r>
              <w:rPr>
                <w:rFonts w:ascii="Arial" w:hAnsi="Arial"/>
                <w:b w:val="0"/>
                <w:sz w:val="15"/>
              </w:rPr>
              <w:t>2023-07</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30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3</w:t>
            </w:r>
          </w:p>
        </w:tc>
      </w:tr>
      <w:tr>
        <w:trPr>
          <w:cantSplit w:val="true"/>
        </w:trPr>
        <w:tc>
          <w:tcPr>
            <w:tcW w:type="dxa" w:w="1644"/>
            <w:vAlign w:val="center"/>
          </w:tcPr>
          <w:p>
            <w:pPr>
              <w:spacing w:after="0"/>
            </w:pPr>
            <w:r/>
            <w:r>
              <w:rPr>
                <w:rFonts w:ascii="Arial" w:hAnsi="Arial"/>
                <w:b w:val="0"/>
                <w:sz w:val="15"/>
              </w:rPr>
              <w:t>2023-08</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25</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r>
      <w:tr>
        <w:trPr>
          <w:cantSplit w:val="true"/>
        </w:trPr>
        <w:tc>
          <w:tcPr>
            <w:tcW w:type="dxa" w:w="1644"/>
            <w:vAlign w:val="center"/>
          </w:tcPr>
          <w:p>
            <w:pPr>
              <w:spacing w:after="0"/>
            </w:pPr>
            <w:r/>
            <w:r>
              <w:rPr>
                <w:rFonts w:ascii="Arial" w:hAnsi="Arial"/>
                <w:b w:val="0"/>
                <w:sz w:val="15"/>
              </w:rPr>
              <w:t>2023-09</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11</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r>
      <w:tr>
        <w:trPr>
          <w:cantSplit w:val="true"/>
        </w:trPr>
        <w:tc>
          <w:tcPr>
            <w:tcW w:type="dxa" w:w="1644"/>
            <w:vAlign w:val="center"/>
          </w:tcPr>
          <w:p>
            <w:pPr>
              <w:spacing w:after="0"/>
            </w:pPr>
            <w:r/>
            <w:r>
              <w:rPr>
                <w:rFonts w:ascii="Arial" w:hAnsi="Arial"/>
                <w:b w:val="0"/>
                <w:sz w:val="15"/>
              </w:rPr>
              <w:t>2023-10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8</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r>
      <w:tr>
        <w:trPr>
          <w:cantSplit w:val="true"/>
        </w:trPr>
        <w:tc>
          <w:tcPr>
            <w:tcW w:type="dxa" w:w="1644"/>
            <w:vAlign w:val="center"/>
          </w:tcPr>
          <w:p>
            <w:pPr>
              <w:spacing w:after="0"/>
            </w:pPr>
            <w:r/>
            <w:r>
              <w:rPr>
                <w:rFonts w:ascii="Arial" w:hAnsi="Arial"/>
                <w:b w:val="0"/>
                <w:sz w:val="15"/>
              </w:rPr>
              <w:t>2023-11</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1</w:t>
            </w:r>
          </w:p>
        </w:tc>
      </w:tr>
      <w:tr>
        <w:trPr>
          <w:cantSplit w:val="true"/>
        </w:trPr>
        <w:tc>
          <w:tcPr>
            <w:tcW w:type="dxa" w:w="1644"/>
            <w:vAlign w:val="center"/>
          </w:tcPr>
          <w:p>
            <w:pPr>
              <w:spacing w:after="0"/>
            </w:pPr>
            <w:r/>
            <w:r>
              <w:rPr>
                <w:rFonts w:ascii="Arial" w:hAnsi="Arial"/>
                <w:b w:val="0"/>
                <w:sz w:val="15"/>
              </w:rPr>
              <w:t>2024-02</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10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r>
      <w:tr>
        <w:trPr>
          <w:cantSplit w:val="true"/>
        </w:trPr>
        <w:tc>
          <w:tcPr>
            <w:tcW w:type="dxa" w:w="1644"/>
            <w:vAlign w:val="center"/>
          </w:tcPr>
          <w:p>
            <w:pPr>
              <w:spacing w:after="0"/>
            </w:pPr>
            <w:r/>
            <w:r>
              <w:rPr>
                <w:rFonts w:ascii="Arial" w:hAnsi="Arial"/>
                <w:b w:val="0"/>
                <w:sz w:val="15"/>
              </w:rPr>
              <w:t>2024-03</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42</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2</w:t>
            </w:r>
          </w:p>
        </w:tc>
      </w:tr>
      <w:tr>
        <w:trPr>
          <w:cantSplit w:val="true"/>
        </w:trPr>
        <w:tc>
          <w:tcPr>
            <w:tcW w:type="dxa" w:w="1644"/>
            <w:vAlign w:val="center"/>
          </w:tcPr>
          <w:p>
            <w:pPr>
              <w:spacing w:after="0"/>
            </w:pPr>
            <w:r/>
            <w:r>
              <w:rPr>
                <w:rFonts w:ascii="Arial" w:hAnsi="Arial"/>
                <w:b w:val="0"/>
                <w:sz w:val="15"/>
              </w:rPr>
              <w:t>2024-04</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36</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3</w:t>
            </w:r>
          </w:p>
        </w:tc>
      </w:tr>
      <w:tr>
        <w:trPr>
          <w:cantSplit w:val="true"/>
        </w:trPr>
        <w:tc>
          <w:tcPr>
            <w:tcW w:type="dxa" w:w="1644"/>
            <w:vAlign w:val="center"/>
          </w:tcPr>
          <w:p>
            <w:pPr>
              <w:spacing w:after="0"/>
            </w:pPr>
            <w:r/>
            <w:r>
              <w:rPr>
                <w:rFonts w:ascii="Arial" w:hAnsi="Arial"/>
                <w:b w:val="0"/>
                <w:sz w:val="15"/>
              </w:rPr>
              <w:t>2024-05</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8</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r>
      <w:tr>
        <w:trPr>
          <w:cantSplit w:val="true"/>
        </w:trPr>
        <w:tc>
          <w:tcPr>
            <w:tcW w:type="dxa" w:w="1644"/>
            <w:vAlign w:val="center"/>
          </w:tcPr>
          <w:p>
            <w:pPr>
              <w:spacing w:after="0"/>
            </w:pPr>
            <w:r/>
            <w:r>
              <w:rPr>
                <w:rFonts w:ascii="Arial" w:hAnsi="Arial"/>
                <w:b w:val="0"/>
                <w:sz w:val="15"/>
              </w:rPr>
              <w:t>2024-06</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4</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2</w:t>
            </w:r>
          </w:p>
        </w:tc>
      </w:tr>
      <w:tr>
        <w:trPr>
          <w:cantSplit w:val="true"/>
        </w:trPr>
        <w:tc>
          <w:tcPr>
            <w:tcW w:type="dxa" w:w="1644"/>
            <w:vAlign w:val="center"/>
          </w:tcPr>
          <w:p>
            <w:pPr>
              <w:spacing w:after="0"/>
            </w:pPr>
            <w:r/>
            <w:r>
              <w:rPr>
                <w:rFonts w:ascii="Arial" w:hAnsi="Arial"/>
                <w:b w:val="0"/>
                <w:sz w:val="15"/>
              </w:rPr>
              <w:t>2024-07</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1</w:t>
            </w:r>
          </w:p>
        </w:tc>
      </w:tr>
      <w:tr>
        <w:trPr>
          <w:cantSplit w:val="true"/>
        </w:trPr>
        <w:tc>
          <w:tcPr>
            <w:tcW w:type="dxa" w:w="1644"/>
            <w:vAlign w:val="center"/>
          </w:tcPr>
          <w:p>
            <w:pPr>
              <w:spacing w:after="0"/>
            </w:pPr>
            <w:r/>
            <w:r>
              <w:rPr>
                <w:rFonts w:ascii="Arial" w:hAnsi="Arial"/>
                <w:b w:val="0"/>
                <w:sz w:val="15"/>
              </w:rPr>
              <w:t>2024-08</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2</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1</w:t>
            </w:r>
          </w:p>
        </w:tc>
      </w:tr>
      <w:tr>
        <w:trPr>
          <w:cantSplit w:val="true"/>
        </w:trPr>
        <w:tc>
          <w:tcPr>
            <w:tcW w:type="dxa" w:w="1644"/>
            <w:vAlign w:val="center"/>
          </w:tcPr>
          <w:p>
            <w:pPr>
              <w:spacing w:after="0"/>
            </w:pPr>
            <w:r/>
            <w:r>
              <w:rPr>
                <w:rFonts w:ascii="Arial" w:hAnsi="Arial"/>
                <w:b w:val="0"/>
                <w:sz w:val="15"/>
              </w:rPr>
              <w:t>2024-09</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21</w:t>
            </w:r>
          </w:p>
        </w:tc>
        <w:tc>
          <w:tcPr>
            <w:tcW w:type="dxa" w:w="1644"/>
            <w:vAlign w:val="center"/>
          </w:tcPr>
          <w:p>
            <w:pPr>
              <w:spacing w:after="0"/>
            </w:pPr>
            <w:r/>
            <w:r>
              <w:rPr>
                <w:rFonts w:ascii="Arial" w:hAnsi="Arial"/>
                <w:b w:val="0"/>
                <w:sz w:val="15"/>
              </w:rPr>
              <w:t>1</w:t>
            </w:r>
          </w:p>
        </w:tc>
      </w:tr>
      <w:tr>
        <w:trPr>
          <w:cantSplit w:val="true"/>
        </w:trPr>
        <w:tc>
          <w:tcPr>
            <w:tcW w:type="dxa" w:w="1644"/>
            <w:vAlign w:val="center"/>
          </w:tcPr>
          <w:p>
            <w:pPr>
              <w:spacing w:after="0"/>
            </w:pPr>
            <w:r/>
            <w:r>
              <w:rPr>
                <w:rFonts w:ascii="Arial" w:hAnsi="Arial"/>
                <w:b w:val="0"/>
                <w:sz w:val="15"/>
              </w:rPr>
              <w:t>2024-10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2</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32</w:t>
            </w:r>
          </w:p>
        </w:tc>
        <w:tc>
          <w:tcPr>
            <w:tcW w:type="dxa" w:w="1644"/>
            <w:vAlign w:val="center"/>
          </w:tcPr>
          <w:p>
            <w:pPr>
              <w:spacing w:after="0"/>
            </w:pPr>
            <w:r/>
            <w:r>
              <w:rPr>
                <w:rFonts w:ascii="Arial" w:hAnsi="Arial"/>
                <w:b w:val="0"/>
                <w:sz w:val="15"/>
              </w:rPr>
              <w:t>1</w:t>
            </w:r>
          </w:p>
        </w:tc>
      </w:tr>
      <w:tr>
        <w:trPr>
          <w:cantSplit w:val="true"/>
        </w:trPr>
        <w:tc>
          <w:tcPr>
            <w:tcW w:type="dxa" w:w="1644"/>
            <w:vAlign w:val="center"/>
          </w:tcPr>
          <w:p>
            <w:pPr>
              <w:spacing w:after="0"/>
            </w:pPr>
            <w:r/>
            <w:r>
              <w:rPr>
                <w:rFonts w:ascii="Arial" w:hAnsi="Arial"/>
                <w:b w:val="0"/>
                <w:sz w:val="15"/>
              </w:rPr>
              <w:t>2024-11</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320</w:t>
            </w:r>
          </w:p>
        </w:tc>
        <w:tc>
          <w:tcPr>
            <w:tcW w:type="dxa" w:w="1644"/>
            <w:vAlign w:val="center"/>
          </w:tcPr>
          <w:p>
            <w:pPr>
              <w:spacing w:after="0"/>
            </w:pPr>
            <w:r/>
            <w:r>
              <w:rPr>
                <w:rFonts w:ascii="Arial" w:hAnsi="Arial"/>
                <w:b w:val="0"/>
                <w:sz w:val="15"/>
              </w:rPr>
              <w:t>5</w:t>
            </w:r>
          </w:p>
        </w:tc>
      </w:tr>
      <w:tr>
        <w:trPr>
          <w:cantSplit w:val="true"/>
        </w:trPr>
        <w:tc>
          <w:tcPr>
            <w:tcW w:type="dxa" w:w="1644"/>
            <w:vAlign w:val="center"/>
          </w:tcPr>
          <w:p>
            <w:pPr>
              <w:spacing w:after="0"/>
            </w:pPr>
            <w:r/>
            <w:r>
              <w:rPr>
                <w:rFonts w:ascii="Arial" w:hAnsi="Arial"/>
                <w:b w:val="0"/>
                <w:sz w:val="15"/>
              </w:rPr>
              <w:t>2024-12</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450</w:t>
            </w:r>
          </w:p>
        </w:tc>
        <w:tc>
          <w:tcPr>
            <w:tcW w:type="dxa" w:w="1644"/>
            <w:vAlign w:val="center"/>
          </w:tcPr>
          <w:p>
            <w:pPr>
              <w:spacing w:after="0"/>
            </w:pPr>
            <w:r/>
            <w:r>
              <w:rPr>
                <w:rFonts w:ascii="Arial" w:hAnsi="Arial"/>
                <w:b w:val="0"/>
                <w:sz w:val="15"/>
              </w:rPr>
              <w:t>5</w:t>
            </w:r>
          </w:p>
        </w:tc>
      </w:tr>
      <w:tr>
        <w:trPr>
          <w:cantSplit w:val="true"/>
        </w:trPr>
        <w:tc>
          <w:tcPr>
            <w:tcW w:type="dxa" w:w="1644"/>
            <w:vAlign w:val="center"/>
          </w:tcPr>
          <w:p>
            <w:pPr>
              <w:spacing w:after="0"/>
            </w:pPr>
            <w:r/>
            <w:r>
              <w:rPr>
                <w:rFonts w:ascii="Arial" w:hAnsi="Arial"/>
                <w:b w:val="0"/>
                <w:sz w:val="15"/>
              </w:rPr>
              <w:t>2025-01</w:t>
            </w:r>
          </w:p>
        </w:tc>
        <w:tc>
          <w:tcPr>
            <w:tcW w:type="dxa" w:w="1644"/>
            <w:vAlign w:val="center"/>
          </w:tcPr>
          <w:p>
            <w:pPr>
              <w:spacing w:after="0"/>
            </w:pPr>
            <w:r/>
            <w:r>
              <w:rPr>
                <w:rFonts w:ascii="Arial" w:hAnsi="Arial"/>
                <w:b w:val="0"/>
                <w:sz w:val="15"/>
              </w:rPr>
              <w:t>168</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741</w:t>
            </w:r>
          </w:p>
        </w:tc>
        <w:tc>
          <w:tcPr>
            <w:tcW w:type="dxa" w:w="1644"/>
            <w:vAlign w:val="center"/>
          </w:tcPr>
          <w:p>
            <w:pPr>
              <w:spacing w:after="0"/>
            </w:pPr>
            <w:r/>
            <w:r>
              <w:rPr>
                <w:rFonts w:ascii="Arial" w:hAnsi="Arial"/>
                <w:b w:val="0"/>
                <w:sz w:val="15"/>
              </w:rPr>
              <w:t>3</w:t>
            </w:r>
          </w:p>
        </w:tc>
      </w:tr>
      <w:tr>
        <w:trPr>
          <w:cantSplit w:val="true"/>
        </w:trPr>
        <w:tc>
          <w:tcPr>
            <w:tcW w:type="dxa" w:w="1644"/>
            <w:vAlign w:val="center"/>
          </w:tcPr>
          <w:p>
            <w:pPr>
              <w:spacing w:after="0"/>
            </w:pPr>
            <w:r/>
            <w:r>
              <w:rPr>
                <w:rFonts w:ascii="Arial" w:hAnsi="Arial"/>
                <w:b w:val="0"/>
                <w:sz w:val="15"/>
              </w:rPr>
              <w:t>2025-02</w:t>
            </w:r>
          </w:p>
        </w:tc>
        <w:tc>
          <w:tcPr>
            <w:tcW w:type="dxa" w:w="1644"/>
            <w:vAlign w:val="center"/>
          </w:tcPr>
          <w:p>
            <w:pPr>
              <w:spacing w:after="0"/>
            </w:pPr>
            <w:r/>
            <w:r>
              <w:rPr>
                <w:rFonts w:ascii="Arial" w:hAnsi="Arial"/>
                <w:b w:val="0"/>
                <w:sz w:val="15"/>
              </w:rPr>
              <w:t>154</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469</w:t>
            </w:r>
          </w:p>
        </w:tc>
        <w:tc>
          <w:tcPr>
            <w:tcW w:type="dxa" w:w="1644"/>
            <w:vAlign w:val="center"/>
          </w:tcPr>
          <w:p>
            <w:pPr>
              <w:spacing w:after="0"/>
            </w:pPr>
            <w:r/>
            <w:r>
              <w:rPr>
                <w:rFonts w:ascii="Arial" w:hAnsi="Arial"/>
                <w:b w:val="0"/>
                <w:sz w:val="15"/>
              </w:rPr>
              <w:t>1</w:t>
            </w:r>
          </w:p>
        </w:tc>
      </w:tr>
      <w:tr>
        <w:trPr>
          <w:cantSplit w:val="true"/>
        </w:trPr>
        <w:tc>
          <w:tcPr>
            <w:tcW w:type="dxa" w:w="1644"/>
            <w:vAlign w:val="center"/>
          </w:tcPr>
          <w:p>
            <w:pPr>
              <w:spacing w:after="0"/>
            </w:pPr>
            <w:r/>
            <w:r>
              <w:rPr>
                <w:rFonts w:ascii="Arial" w:hAnsi="Arial"/>
                <w:b w:val="0"/>
                <w:sz w:val="15"/>
              </w:rPr>
              <w:t>2025-03</w:t>
            </w:r>
          </w:p>
        </w:tc>
        <w:tc>
          <w:tcPr>
            <w:tcW w:type="dxa" w:w="1644"/>
            <w:vAlign w:val="center"/>
          </w:tcPr>
          <w:p>
            <w:pPr>
              <w:spacing w:after="0"/>
            </w:pPr>
            <w:r/>
            <w:r>
              <w:rPr>
                <w:rFonts w:ascii="Arial" w:hAnsi="Arial"/>
                <w:b w:val="0"/>
                <w:sz w:val="15"/>
              </w:rPr>
              <w:t>178</w:t>
            </w:r>
          </w:p>
        </w:tc>
        <w:tc>
          <w:tcPr>
            <w:tcW w:type="dxa" w:w="1644"/>
            <w:vAlign w:val="center"/>
          </w:tcPr>
          <w:p>
            <w:pPr>
              <w:spacing w:after="0"/>
            </w:pPr>
            <w:r/>
            <w:r>
              <w:rPr>
                <w:rFonts w:ascii="Arial" w:hAnsi="Arial"/>
                <w:b w:val="0"/>
                <w:sz w:val="15"/>
              </w:rPr>
              <w:t>30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510</w:t>
            </w:r>
          </w:p>
        </w:tc>
        <w:tc>
          <w:tcPr>
            <w:tcW w:type="dxa" w:w="1644"/>
            <w:vAlign w:val="center"/>
          </w:tcPr>
          <w:p>
            <w:pPr>
              <w:spacing w:after="0"/>
            </w:pPr>
            <w:r/>
            <w:r>
              <w:rPr>
                <w:rFonts w:ascii="Arial" w:hAnsi="Arial"/>
                <w:b w:val="0"/>
                <w:sz w:val="15"/>
              </w:rPr>
              <w:t>51</w:t>
            </w:r>
          </w:p>
        </w:tc>
      </w:tr>
      <w:tr>
        <w:trPr>
          <w:cantSplit w:val="true"/>
        </w:trPr>
        <w:tc>
          <w:tcPr>
            <w:tcW w:type="dxa" w:w="1644"/>
            <w:vAlign w:val="center"/>
          </w:tcPr>
          <w:p>
            <w:pPr>
              <w:spacing w:after="0"/>
            </w:pPr>
            <w:r/>
            <w:r>
              <w:rPr>
                <w:rFonts w:ascii="Arial" w:hAnsi="Arial"/>
                <w:b w:val="0"/>
                <w:sz w:val="15"/>
              </w:rPr>
              <w:t>2025-04</w:t>
            </w:r>
          </w:p>
        </w:tc>
        <w:tc>
          <w:tcPr>
            <w:tcW w:type="dxa" w:w="1644"/>
            <w:vAlign w:val="center"/>
          </w:tcPr>
          <w:p>
            <w:pPr>
              <w:spacing w:after="0"/>
            </w:pPr>
            <w:r/>
            <w:r>
              <w:rPr>
                <w:rFonts w:ascii="Arial" w:hAnsi="Arial"/>
                <w:b w:val="0"/>
                <w:sz w:val="15"/>
              </w:rPr>
              <w:t>130</w:t>
            </w:r>
          </w:p>
        </w:tc>
        <w:tc>
          <w:tcPr>
            <w:tcW w:type="dxa" w:w="1644"/>
            <w:vAlign w:val="center"/>
          </w:tcPr>
          <w:p>
            <w:pPr>
              <w:spacing w:after="0"/>
            </w:pPr>
            <w:r/>
            <w:r>
              <w:rPr>
                <w:rFonts w:ascii="Arial" w:hAnsi="Arial"/>
                <w:b w:val="0"/>
                <w:sz w:val="15"/>
              </w:rPr>
              <w:t>284</w:t>
            </w:r>
          </w:p>
        </w:tc>
        <w:tc>
          <w:tcPr>
            <w:tcW w:type="dxa" w:w="1644"/>
            <w:vAlign w:val="center"/>
          </w:tcPr>
          <w:p>
            <w:pPr>
              <w:spacing w:after="0"/>
            </w:pPr>
            <w:r/>
            <w:r>
              <w:rPr>
                <w:rFonts w:ascii="Arial" w:hAnsi="Arial"/>
                <w:b w:val="0"/>
                <w:sz w:val="15"/>
              </w:rPr>
              <w:t>462</w:t>
            </w:r>
          </w:p>
        </w:tc>
        <w:tc>
          <w:tcPr>
            <w:tcW w:type="dxa" w:w="1644"/>
            <w:vAlign w:val="center"/>
          </w:tcPr>
          <w:p>
            <w:pPr>
              <w:spacing w:after="0"/>
            </w:pPr>
            <w:r/>
            <w:r>
              <w:rPr>
                <w:rFonts w:ascii="Arial" w:hAnsi="Arial"/>
                <w:b w:val="0"/>
                <w:sz w:val="15"/>
              </w:rPr>
              <w:t>560</w:t>
            </w:r>
          </w:p>
        </w:tc>
        <w:tc>
          <w:tcPr>
            <w:tcW w:type="dxa" w:w="1644"/>
            <w:vAlign w:val="center"/>
          </w:tcPr>
          <w:p>
            <w:pPr>
              <w:spacing w:after="0"/>
            </w:pPr>
            <w:r/>
            <w:r>
              <w:rPr>
                <w:rFonts w:ascii="Arial" w:hAnsi="Arial"/>
                <w:b w:val="0"/>
                <w:sz w:val="15"/>
              </w:rPr>
              <w:t>443</w:t>
            </w:r>
          </w:p>
        </w:tc>
      </w:tr>
      <w:tr>
        <w:trPr>
          <w:cantSplit w:val="true"/>
        </w:trPr>
        <w:tc>
          <w:tcPr>
            <w:tcW w:type="dxa" w:w="1644"/>
            <w:vAlign w:val="center"/>
          </w:tcPr>
          <w:p>
            <w:pPr>
              <w:spacing w:after="0"/>
            </w:pPr>
            <w:r/>
            <w:r>
              <w:rPr>
                <w:rFonts w:ascii="Arial" w:hAnsi="Arial"/>
                <w:b w:val="0"/>
                <w:sz w:val="15"/>
              </w:rPr>
              <w:t>2025-05</w:t>
            </w:r>
          </w:p>
        </w:tc>
        <w:tc>
          <w:tcPr>
            <w:tcW w:type="dxa" w:w="1644"/>
            <w:vAlign w:val="center"/>
          </w:tcPr>
          <w:p>
            <w:pPr>
              <w:spacing w:after="0"/>
            </w:pPr>
            <w:r/>
            <w:r>
              <w:rPr>
                <w:rFonts w:ascii="Arial" w:hAnsi="Arial"/>
                <w:b w:val="0"/>
                <w:sz w:val="15"/>
              </w:rPr>
              <w:t>125</w:t>
            </w:r>
          </w:p>
        </w:tc>
        <w:tc>
          <w:tcPr>
            <w:tcW w:type="dxa" w:w="1644"/>
            <w:vAlign w:val="center"/>
          </w:tcPr>
          <w:p>
            <w:pPr>
              <w:spacing w:after="0"/>
            </w:pPr>
            <w:r/>
            <w:r>
              <w:rPr>
                <w:rFonts w:ascii="Arial" w:hAnsi="Arial"/>
                <w:b w:val="0"/>
                <w:sz w:val="15"/>
              </w:rPr>
              <w:t>32</w:t>
            </w:r>
          </w:p>
        </w:tc>
        <w:tc>
          <w:tcPr>
            <w:tcW w:type="dxa" w:w="1644"/>
            <w:vAlign w:val="center"/>
          </w:tcPr>
          <w:p>
            <w:pPr>
              <w:spacing w:after="0"/>
            </w:pPr>
            <w:r/>
            <w:r>
              <w:rPr>
                <w:rFonts w:ascii="Arial" w:hAnsi="Arial"/>
                <w:b w:val="0"/>
                <w:sz w:val="15"/>
              </w:rPr>
              <w:t>354</w:t>
            </w:r>
          </w:p>
        </w:tc>
        <w:tc>
          <w:tcPr>
            <w:tcW w:type="dxa" w:w="1644"/>
            <w:vAlign w:val="center"/>
          </w:tcPr>
          <w:p>
            <w:pPr>
              <w:spacing w:after="0"/>
            </w:pPr>
            <w:r/>
            <w:r>
              <w:rPr>
                <w:rFonts w:ascii="Arial" w:hAnsi="Arial"/>
                <w:b w:val="0"/>
                <w:sz w:val="15"/>
              </w:rPr>
              <w:t>33</w:t>
            </w:r>
          </w:p>
        </w:tc>
        <w:tc>
          <w:tcPr>
            <w:tcW w:type="dxa" w:w="1644"/>
            <w:vAlign w:val="center"/>
          </w:tcPr>
          <w:p>
            <w:pPr>
              <w:spacing w:after="0"/>
            </w:pPr>
            <w:r/>
            <w:r>
              <w:rPr>
                <w:rFonts w:ascii="Arial" w:hAnsi="Arial"/>
                <w:b w:val="0"/>
                <w:sz w:val="15"/>
              </w:rPr>
              <w:t>750</w:t>
            </w:r>
          </w:p>
        </w:tc>
      </w:tr>
      <w:tr>
        <w:trPr>
          <w:cantSplit w:val="true"/>
        </w:trPr>
        <w:tc>
          <w:tcPr>
            <w:tcW w:type="dxa" w:w="1644"/>
            <w:vAlign w:val="center"/>
          </w:tcPr>
          <w:p>
            <w:pPr>
              <w:spacing w:after="0"/>
            </w:pPr>
            <w:r/>
            <w:r>
              <w:rPr>
                <w:rFonts w:ascii="Arial" w:hAnsi="Arial"/>
                <w:b w:val="0"/>
                <w:sz w:val="15"/>
              </w:rPr>
              <w:t>2025-06</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0</w:t>
            </w:r>
          </w:p>
        </w:tc>
        <w:tc>
          <w:tcPr>
            <w:tcW w:type="dxa" w:w="1644"/>
            <w:vAlign w:val="center"/>
          </w:tcPr>
          <w:p>
            <w:pPr>
              <w:spacing w:after="0"/>
            </w:pPr>
            <w:r/>
            <w:r>
              <w:rPr>
                <w:rFonts w:ascii="Arial" w:hAnsi="Arial"/>
                <w:b w:val="0"/>
                <w:sz w:val="15"/>
              </w:rPr>
              <w:t>14</w:t>
            </w:r>
          </w:p>
        </w:tc>
      </w:tr>
    </w:tbl>
    <w:p>
      <w:pPr>
        <w:spacing w:after="40"/>
      </w:pPr>
    </w:p>
    <w:p>
      <w:pPr>
        <w:spacing w:after="180"/>
      </w:pPr>
      <w:r>
        <w:rPr>
          <w:b/>
        </w:rPr>
        <w:t>Table notes:</w:t>
      </w:r>
      <w:r>
        <w:t xml:space="preserve"> The month is written as year-month. Each number is the count of post-to-CVE links collected from that source during that month. A zero means no such row was collected. Because the available sources change over time, a difference between months may reflect collection coverage as well as a real change in social-media activity.</w:t>
      </w:r>
    </w:p>
    <w:p>
      <w:pPr>
        <w:pStyle w:val="Heading1"/>
      </w:pPr>
      <w:r>
        <w:t>11. Why Simple Correlation Was Not Enough</w:t>
      </w:r>
    </w:p>
    <w:p>
      <w:r>
        <w:t>A direct correlation would mix together information in the original post, prior knowledge inside the LLM, CVE age, technical severity, source-specific collection windows, repeated records, and public signals that may already influence EPSS. The analysis therefore moved from description to an event timeline and then to a comparison with selected similar CVEs.</w:t>
      </w:r>
    </w:p>
    <w:p>
      <w:r>
        <w:t>The workflow was:</w:t>
      </w:r>
    </w:p>
    <w:p>
      <w:pPr>
        <w:spacing w:after="60"/>
        <w:ind w:left="369" w:hanging="227"/>
      </w:pPr>
      <w:r>
        <w:t xml:space="preserve">1. </w:t>
      </w:r>
      <w:r>
        <w:t>verify the row structure, missing values, and agreement among the three model files;</w:t>
      </w:r>
    </w:p>
    <w:p>
      <w:pPr>
        <w:spacing w:after="60"/>
        <w:ind w:left="369" w:hanging="227"/>
      </w:pPr>
      <w:r>
        <w:t xml:space="preserve">2. </w:t>
      </w:r>
      <w:r>
        <w:t>examine distributions, correlations, source differences, CVE age, and text reuse;</w:t>
      </w:r>
    </w:p>
    <w:p>
      <w:pPr>
        <w:spacing w:after="60"/>
        <w:ind w:left="369" w:hanging="227"/>
      </w:pPr>
      <w:r>
        <w:t xml:space="preserve">3. </w:t>
      </w:r>
      <w:r>
        <w:t>audit LLM coverage and faithfulness;</w:t>
      </w:r>
    </w:p>
    <w:p>
      <w:pPr>
        <w:spacing w:after="60"/>
        <w:ind w:left="369" w:hanging="227"/>
      </w:pPr>
      <w:r>
        <w:t xml:space="preserve">4. </w:t>
      </w:r>
      <w:r>
        <w:t>align historical EPSS scores around the first-post event;</w:t>
      </w:r>
    </w:p>
    <w:p>
      <w:pPr>
        <w:spacing w:after="60"/>
        <w:ind w:left="369" w:hanging="227"/>
      </w:pPr>
      <w:r>
        <w:t xml:space="preserve">5. </w:t>
      </w:r>
      <w:r>
        <w:t>check whether enough pre-event EPSS history existed;</w:t>
      </w:r>
    </w:p>
    <w:p>
      <w:pPr>
        <w:spacing w:after="60"/>
        <w:ind w:left="369" w:hanging="227"/>
      </w:pPr>
      <w:r>
        <w:t xml:space="preserve">6. </w:t>
      </w:r>
      <w:r>
        <w:t>compare posted CVEs with selected similar CVEs over the same calendar window; and</w:t>
      </w:r>
    </w:p>
    <w:p>
      <w:pPr>
        <w:spacing w:after="60"/>
        <w:ind w:left="369" w:hanging="227"/>
      </w:pPr>
      <w:r>
        <w:t xml:space="preserve">7. </w:t>
      </w:r>
      <w:r>
        <w:t>add CISA KEV as an external outcome and run exploratory predictive models.</w:t>
      </w:r>
    </w:p>
    <w:p>
      <w:pPr>
        <w:pStyle w:val="Heading1"/>
      </w:pPr>
      <w:r>
        <w:t>12. Temporal Event Study</w:t>
      </w:r>
    </w:p>
    <w:p>
      <w:r>
        <w:t xml:space="preserve">For every canonical CVE, the earliest post date captured in this dataset is </w:t>
      </w:r>
      <w:r>
        <w:rPr>
          <w:rFonts w:ascii="Courier New" w:hAnsi="Courier New"/>
          <w:sz w:val="18"/>
        </w:rPr>
        <w:t>t</w:t>
      </w:r>
      <w:r>
        <w:t xml:space="preserve">. EPSS was examined at </w:t>
      </w:r>
      <w:r>
        <w:rPr>
          <w:rFonts w:ascii="Courier New" w:hAnsi="Courier New"/>
          <w:sz w:val="18"/>
        </w:rPr>
        <w:t>t-30</w:t>
      </w:r>
      <w:r>
        <w:t xml:space="preserve">, </w:t>
      </w:r>
      <w:r>
        <w:rPr>
          <w:rFonts w:ascii="Courier New" w:hAnsi="Courier New"/>
          <w:sz w:val="18"/>
        </w:rPr>
        <w:t>t-14</w:t>
      </w:r>
      <w:r>
        <w:t xml:space="preserve">, </w:t>
      </w:r>
      <w:r>
        <w:rPr>
          <w:rFonts w:ascii="Courier New" w:hAnsi="Courier New"/>
          <w:sz w:val="18"/>
        </w:rPr>
        <w:t>t-7</w:t>
      </w:r>
      <w:r>
        <w:t xml:space="preserve">, </w:t>
      </w:r>
      <w:r>
        <w:rPr>
          <w:rFonts w:ascii="Courier New" w:hAnsi="Courier New"/>
          <w:sz w:val="18"/>
        </w:rPr>
        <w:t>t-1</w:t>
      </w:r>
      <w:r>
        <w:t xml:space="preserve">, </w:t>
      </w:r>
      <w:r>
        <w:rPr>
          <w:rFonts w:ascii="Courier New" w:hAnsi="Courier New"/>
          <w:sz w:val="18"/>
        </w:rPr>
        <w:t>t</w:t>
      </w:r>
      <w:r>
        <w:t xml:space="preserve">, </w:t>
      </w:r>
      <w:r>
        <w:rPr>
          <w:rFonts w:ascii="Courier New" w:hAnsi="Courier New"/>
          <w:sz w:val="18"/>
        </w:rPr>
        <w:t>t+1</w:t>
      </w:r>
      <w:r>
        <w:t xml:space="preserve">, </w:t>
      </w:r>
      <w:r>
        <w:rPr>
          <w:rFonts w:ascii="Courier New" w:hAnsi="Courier New"/>
          <w:sz w:val="18"/>
        </w:rPr>
        <w:t>t+3</w:t>
      </w:r>
      <w:r>
        <w:t xml:space="preserve">, </w:t>
      </w:r>
      <w:r>
        <w:rPr>
          <w:rFonts w:ascii="Courier New" w:hAnsi="Courier New"/>
          <w:sz w:val="18"/>
        </w:rPr>
        <w:t>t+7</w:t>
      </w:r>
      <w:r>
        <w:t xml:space="preserve">, </w:t>
      </w:r>
      <w:r>
        <w:rPr>
          <w:rFonts w:ascii="Courier New" w:hAnsi="Courier New"/>
          <w:sz w:val="18"/>
        </w:rPr>
        <w:t>t+14</w:t>
      </w:r>
      <w:r>
        <w:t xml:space="preserve">, and </w:t>
      </w:r>
      <w:r>
        <w:rPr>
          <w:rFonts w:ascii="Courier New" w:hAnsi="Courier New"/>
          <w:sz w:val="18"/>
        </w:rPr>
        <w:t>t+30</w:t>
      </w:r>
      <w:r>
        <w:t xml:space="preserve"> when data existed. A negative offset means days before the event and a positive offset means days after it.</w:t>
      </w:r>
    </w:p>
    <w:p>
      <w:r>
        <w:t xml:space="preserve">When a score was unavailable exactly at </w:t>
      </w:r>
      <w:r>
        <w:rPr>
          <w:rFonts w:ascii="Courier New" w:hAnsi="Courier New"/>
          <w:sz w:val="18"/>
        </w:rPr>
        <w:t>t</w:t>
      </w:r>
      <w:r>
        <w:t xml:space="preserve">, the baseline anchor used </w:t>
      </w:r>
      <w:r>
        <w:rPr>
          <w:rFonts w:ascii="Courier New" w:hAnsi="Courier New"/>
          <w:sz w:val="18"/>
        </w:rPr>
        <w:t>t+1</w:t>
      </w:r>
      <w:r>
        <w:t xml:space="preserve"> and then </w:t>
      </w:r>
      <w:r>
        <w:rPr>
          <w:rFonts w:ascii="Courier New" w:hAnsi="Courier New"/>
          <w:sz w:val="18"/>
        </w:rPr>
        <w:t>t+3</w:t>
      </w:r>
      <w:r>
        <w:t>. A “change” or “delta” is the later score minus the earlier score. Positive values mean EPSS rose; negative values mean it fell.</w:t>
      </w:r>
    </w:p>
    <w:p>
      <w:pPr>
        <w:pStyle w:val="Heading1"/>
      </w:pPr>
      <w:r>
        <w:t>13. Feasibility Audit</w:t>
      </w:r>
    </w:p>
    <w:tbl>
      <w:tblPr>
        <w:tblStyle w:val="TableGrid"/>
        <w:tblW w:type="auto" w:w="0"/>
        <w:tblLayout w:type="autofit"/>
        <w:tblLook w:firstColumn="1" w:firstRow="1" w:lastColumn="0" w:lastRow="0" w:noHBand="0" w:noVBand="1" w:val="04A0"/>
      </w:tblPr>
      <w:tblGrid>
        <w:gridCol w:w="2466"/>
        <w:gridCol w:w="2466"/>
        <w:gridCol w:w="2466"/>
        <w:gridCol w:w="2466"/>
      </w:tblGrid>
      <w:tr>
        <w:trPr>
          <w:tblHeader w:val="true"/>
          <w:cantSplit w:val="true"/>
        </w:trPr>
        <w:tc>
          <w:tcPr>
            <w:tcW w:type="dxa" w:w="2466"/>
            <w:vAlign w:val="center"/>
            <w:shd w:fill="D9E6F5"/>
          </w:tcPr>
          <w:p>
            <w:pPr>
              <w:spacing w:after="0"/>
            </w:pPr>
            <w:r/>
            <w:r>
              <w:rPr>
                <w:rFonts w:ascii="Arial" w:hAnsi="Arial"/>
                <w:b/>
                <w:sz w:val="17"/>
              </w:rPr>
              <w:t>Event window</w:t>
            </w:r>
          </w:p>
        </w:tc>
        <w:tc>
          <w:tcPr>
            <w:tcW w:type="dxa" w:w="2466"/>
            <w:vAlign w:val="center"/>
            <w:shd w:fill="D9E6F5"/>
          </w:tcPr>
          <w:p>
            <w:pPr>
              <w:spacing w:after="0"/>
            </w:pPr>
            <w:r/>
            <w:r>
              <w:rPr>
                <w:rFonts w:ascii="Arial" w:hAnsi="Arial"/>
                <w:b/>
                <w:sz w:val="17"/>
              </w:rPr>
              <w:t>Has required pre-history</w:t>
            </w:r>
          </w:p>
        </w:tc>
        <w:tc>
          <w:tcPr>
            <w:tcW w:type="dxa" w:w="2466"/>
            <w:vAlign w:val="center"/>
            <w:shd w:fill="D9E6F5"/>
          </w:tcPr>
          <w:p>
            <w:pPr>
              <w:spacing w:after="0"/>
            </w:pPr>
            <w:r/>
            <w:r>
              <w:rPr>
                <w:rFonts w:ascii="Arial" w:hAnsi="Arial"/>
                <w:b/>
                <w:sz w:val="17"/>
              </w:rPr>
              <w:t>Also has CVE-specific text</w:t>
            </w:r>
          </w:p>
        </w:tc>
        <w:tc>
          <w:tcPr>
            <w:tcW w:type="dxa" w:w="2466"/>
            <w:vAlign w:val="center"/>
            <w:shd w:fill="D9E6F5"/>
          </w:tcPr>
          <w:p>
            <w:pPr>
              <w:spacing w:after="0"/>
            </w:pPr>
            <w:r/>
            <w:r>
              <w:rPr>
                <w:rFonts w:ascii="Arial" w:hAnsi="Arial"/>
                <w:b/>
                <w:sz w:val="17"/>
              </w:rPr>
              <w:t>Also stays within one EPSS version</w:t>
            </w:r>
          </w:p>
        </w:tc>
      </w:tr>
      <w:tr>
        <w:trPr>
          <w:cantSplit w:val="true"/>
        </w:trPr>
        <w:tc>
          <w:tcPr>
            <w:tcW w:type="dxa" w:w="2466"/>
            <w:vAlign w:val="center"/>
          </w:tcPr>
          <w:p>
            <w:pPr>
              <w:spacing w:after="0"/>
            </w:pPr>
            <w:r/>
            <w:r>
              <w:rPr>
                <w:rFonts w:ascii="Arial" w:hAnsi="Arial"/>
                <w:b w:val="0"/>
                <w:sz w:val="17"/>
              </w:rPr>
              <w:t>+/-7d</w:t>
            </w:r>
          </w:p>
        </w:tc>
        <w:tc>
          <w:tcPr>
            <w:tcW w:type="dxa" w:w="2466"/>
            <w:vAlign w:val="center"/>
          </w:tcPr>
          <w:p>
            <w:pPr>
              <w:spacing w:after="0"/>
            </w:pPr>
            <w:r/>
            <w:r>
              <w:rPr>
                <w:rFonts w:ascii="Arial" w:hAnsi="Arial"/>
                <w:b w:val="0"/>
                <w:sz w:val="17"/>
              </w:rPr>
              <w:t>852</w:t>
            </w:r>
          </w:p>
        </w:tc>
        <w:tc>
          <w:tcPr>
            <w:tcW w:type="dxa" w:w="2466"/>
            <w:vAlign w:val="center"/>
          </w:tcPr>
          <w:p>
            <w:pPr>
              <w:spacing w:after="0"/>
            </w:pPr>
            <w:r/>
            <w:r>
              <w:rPr>
                <w:rFonts w:ascii="Arial" w:hAnsi="Arial"/>
                <w:b w:val="0"/>
                <w:sz w:val="17"/>
              </w:rPr>
              <w:t>384</w:t>
            </w:r>
          </w:p>
        </w:tc>
        <w:tc>
          <w:tcPr>
            <w:tcW w:type="dxa" w:w="2466"/>
            <w:vAlign w:val="center"/>
          </w:tcPr>
          <w:p>
            <w:pPr>
              <w:spacing w:after="0"/>
            </w:pPr>
            <w:r/>
            <w:r>
              <w:rPr>
                <w:rFonts w:ascii="Arial" w:hAnsi="Arial"/>
                <w:b w:val="0"/>
                <w:sz w:val="17"/>
              </w:rPr>
              <w:t>372</w:t>
            </w:r>
          </w:p>
        </w:tc>
      </w:tr>
      <w:tr>
        <w:trPr>
          <w:cantSplit w:val="true"/>
        </w:trPr>
        <w:tc>
          <w:tcPr>
            <w:tcW w:type="dxa" w:w="2466"/>
            <w:vAlign w:val="center"/>
          </w:tcPr>
          <w:p>
            <w:pPr>
              <w:spacing w:after="0"/>
            </w:pPr>
            <w:r/>
            <w:r>
              <w:rPr>
                <w:rFonts w:ascii="Arial" w:hAnsi="Arial"/>
                <w:b w:val="0"/>
                <w:sz w:val="17"/>
              </w:rPr>
              <w:t>+/-14d</w:t>
            </w:r>
          </w:p>
        </w:tc>
        <w:tc>
          <w:tcPr>
            <w:tcW w:type="dxa" w:w="2466"/>
            <w:vAlign w:val="center"/>
          </w:tcPr>
          <w:p>
            <w:pPr>
              <w:spacing w:after="0"/>
            </w:pPr>
            <w:r/>
            <w:r>
              <w:rPr>
                <w:rFonts w:ascii="Arial" w:hAnsi="Arial"/>
                <w:b w:val="0"/>
                <w:sz w:val="17"/>
              </w:rPr>
              <w:t>810</w:t>
            </w:r>
          </w:p>
        </w:tc>
        <w:tc>
          <w:tcPr>
            <w:tcW w:type="dxa" w:w="2466"/>
            <w:vAlign w:val="center"/>
          </w:tcPr>
          <w:p>
            <w:pPr>
              <w:spacing w:after="0"/>
            </w:pPr>
            <w:r/>
            <w:r>
              <w:rPr>
                <w:rFonts w:ascii="Arial" w:hAnsi="Arial"/>
                <w:b w:val="0"/>
                <w:sz w:val="17"/>
              </w:rPr>
              <w:t>346</w:t>
            </w:r>
          </w:p>
        </w:tc>
        <w:tc>
          <w:tcPr>
            <w:tcW w:type="dxa" w:w="2466"/>
            <w:vAlign w:val="center"/>
          </w:tcPr>
          <w:p>
            <w:pPr>
              <w:spacing w:after="0"/>
            </w:pPr>
            <w:r/>
            <w:r>
              <w:rPr>
                <w:rFonts w:ascii="Arial" w:hAnsi="Arial"/>
                <w:b w:val="0"/>
                <w:sz w:val="17"/>
              </w:rPr>
              <w:t>321</w:t>
            </w:r>
          </w:p>
        </w:tc>
      </w:tr>
      <w:tr>
        <w:trPr>
          <w:cantSplit w:val="true"/>
        </w:trPr>
        <w:tc>
          <w:tcPr>
            <w:tcW w:type="dxa" w:w="2466"/>
            <w:vAlign w:val="center"/>
          </w:tcPr>
          <w:p>
            <w:pPr>
              <w:spacing w:after="0"/>
            </w:pPr>
            <w:r/>
            <w:r>
              <w:rPr>
                <w:rFonts w:ascii="Arial" w:hAnsi="Arial"/>
                <w:b w:val="0"/>
                <w:sz w:val="17"/>
              </w:rPr>
              <w:t>+/-30d</w:t>
            </w:r>
          </w:p>
        </w:tc>
        <w:tc>
          <w:tcPr>
            <w:tcW w:type="dxa" w:w="2466"/>
            <w:vAlign w:val="center"/>
          </w:tcPr>
          <w:p>
            <w:pPr>
              <w:spacing w:after="0"/>
            </w:pPr>
            <w:r/>
            <w:r>
              <w:rPr>
                <w:rFonts w:ascii="Arial" w:hAnsi="Arial"/>
                <w:b w:val="0"/>
                <w:sz w:val="17"/>
              </w:rPr>
              <w:t>773</w:t>
            </w:r>
          </w:p>
        </w:tc>
        <w:tc>
          <w:tcPr>
            <w:tcW w:type="dxa" w:w="2466"/>
            <w:vAlign w:val="center"/>
          </w:tcPr>
          <w:p>
            <w:pPr>
              <w:spacing w:after="0"/>
            </w:pPr>
            <w:r/>
            <w:r>
              <w:rPr>
                <w:rFonts w:ascii="Arial" w:hAnsi="Arial"/>
                <w:b w:val="0"/>
                <w:sz w:val="17"/>
              </w:rPr>
              <w:t>321</w:t>
            </w:r>
          </w:p>
        </w:tc>
        <w:tc>
          <w:tcPr>
            <w:tcW w:type="dxa" w:w="2466"/>
            <w:vAlign w:val="center"/>
          </w:tcPr>
          <w:p>
            <w:pPr>
              <w:spacing w:after="0"/>
            </w:pPr>
            <w:r/>
            <w:r>
              <w:rPr>
                <w:rFonts w:ascii="Arial" w:hAnsi="Arial"/>
                <w:b w:val="0"/>
                <w:sz w:val="17"/>
              </w:rPr>
              <w:t>213</w:t>
            </w:r>
          </w:p>
        </w:tc>
      </w:tr>
    </w:tbl>
    <w:p>
      <w:pPr>
        <w:spacing w:after="40"/>
      </w:pPr>
    </w:p>
    <w:p>
      <w:pPr>
        <w:spacing w:after="180"/>
      </w:pPr>
      <w:r>
        <w:rPr>
          <w:b/>
        </w:rPr>
        <w:t>Table notes:</w:t>
      </w:r>
      <w:r>
        <w:t xml:space="preserve"> This table asks whether a fair before-and-after comparison is possible. An event window of </w:t>
      </w:r>
      <w:r>
        <w:rPr>
          <w:rFonts w:ascii="Courier New" w:hAnsi="Courier New"/>
          <w:sz w:val="18"/>
        </w:rPr>
        <w:t>+/-7d</w:t>
      </w:r>
      <w:r>
        <w:t xml:space="preserve"> means seven days before and seven days after the first post. “Has required pre-history” means EPSS data already existed far enough before the post. “CVE-specific text” keeps posts whose exact text is connected to only one CVE, removing general articles or copied pages linked to several CVEs. “One EPSS version” means the window does not cross a change in the EPSS calculation method. The columns are step-by-step filters, so each number is a smaller subset of the number to its left.</w:t>
      </w:r>
    </w:p>
    <w:p>
      <w:r>
        <w:t xml:space="preserve">For example, in the </w:t>
      </w:r>
      <w:r>
        <w:rPr>
          <w:rFonts w:ascii="Courier New" w:hAnsi="Courier New"/>
          <w:sz w:val="18"/>
        </w:rPr>
        <w:t>+/-30d</w:t>
      </w:r>
      <w:r>
        <w:t xml:space="preserve"> row, 773 CVEs had enough earlier EPSS data. After keeping only CVE-specific first-post text, 321 remained. After also requiring the full window to stay inside one EPSS version, 213 remained.</w:t>
      </w:r>
    </w:p>
    <w:p>
      <w:r>
        <w:t>The audit shows that a full before-and-after study would rely on a small, selected group of older CVEs. The audit's broader text rule retained 3,523 forward events, while the implemented clean-first-post rule retained 3,507; they are different filters and should not be read as contradictory counts.</w:t>
      </w:r>
    </w:p>
    <w:p>
      <w:pPr>
        <w:pStyle w:val="Heading1"/>
      </w:pPr>
      <w:r>
        <w:t>14. Temporal Results</w:t>
      </w:r>
    </w:p>
    <w:p>
      <w:pPr>
        <w:pStyle w:val="Heading2"/>
      </w:pPr>
      <w:r>
        <w:t>Understanding the Two p-values</w:t>
      </w:r>
    </w:p>
    <w:p>
      <w:pPr>
        <w:pStyle w:val="ListBullet"/>
        <w:spacing w:after="60"/>
      </w:pPr>
      <w:r>
        <w:rPr>
          <w:b/>
        </w:rPr>
        <w:t>t-test p-value:</w:t>
      </w:r>
      <w:r>
        <w:t xml:space="preserve"> This test asks whether the </w:t>
      </w:r>
      <w:r>
        <w:rPr>
          <w:b/>
        </w:rPr>
        <w:t>average change</w:t>
      </w:r>
      <w:r>
        <w:t xml:space="preserve"> across the CVEs is different from zero. It uses the actual numerical changes, so a few unusually large increases or decreases can strongly affect it.</w:t>
      </w:r>
    </w:p>
    <w:p>
      <w:pPr>
        <w:pStyle w:val="ListBullet"/>
        <w:spacing w:after="60"/>
      </w:pPr>
      <w:r>
        <w:rPr>
          <w:b/>
        </w:rPr>
        <w:t>Wilcoxon p-value:</w:t>
      </w:r>
      <w:r>
        <w:t xml:space="preserve"> This test asks whether the </w:t>
      </w:r>
      <w:r>
        <w:rPr>
          <w:b/>
        </w:rPr>
        <w:t>non-zero changes generally point in one direction</w:t>
      </w:r>
      <w:r>
        <w:t>. It ranks changes by size instead of relying directly on their raw values, so it is less affected by a few extreme CVEs. Exact zero changes are excluded from this Wilcoxon calculation.</w:t>
      </w:r>
    </w:p>
    <w:p>
      <w:pPr>
        <w:pStyle w:val="ListBullet"/>
        <w:spacing w:after="60"/>
      </w:pPr>
      <w:r>
        <w:rPr>
          <w:b/>
        </w:rPr>
        <w:t>How to interpret them:</w:t>
      </w:r>
      <w:r>
        <w:t xml:space="preserve"> A small value, commonly below 0.05, means the observed pattern would be unusual if there were no consistent change. It does not show how large or useful the change is, and it does not prove that the social-media post caused it. When both p-values are small, both the average and ranked direction support a change. When they disagree, the result may be affected by extreme values, many zero changes, or an uneven distribution.</w:t>
      </w:r>
    </w:p>
    <w:p>
      <w:pPr>
        <w:keepLines/>
        <w:spacing w:before="120" w:after="160"/>
      </w:pPr>
      <w:r>
        <w:rPr>
          <w:b/>
        </w:rPr>
        <w:t>Small example:</w:t>
      </w:r>
      <w:r>
        <w:t xml:space="preserve"> Suppose the changes for four CVEs are </w:t>
      </w:r>
      <w:r>
        <w:rPr>
          <w:rFonts w:ascii="Courier New" w:hAnsi="Courier New"/>
          <w:sz w:val="18"/>
        </w:rPr>
        <w:t>+0.10</w:t>
      </w:r>
      <w:r>
        <w:t xml:space="preserve">, </w:t>
      </w:r>
      <w:r>
        <w:rPr>
          <w:rFonts w:ascii="Courier New" w:hAnsi="Courier New"/>
          <w:sz w:val="18"/>
        </w:rPr>
        <w:t>+0.02</w:t>
      </w:r>
      <w:r>
        <w:t xml:space="preserve">, </w:t>
      </w:r>
      <w:r>
        <w:rPr>
          <w:rFonts w:ascii="Courier New" w:hAnsi="Courier New"/>
          <w:sz w:val="18"/>
        </w:rPr>
        <w:t>-0.01</w:t>
      </w:r>
      <w:r>
        <w:t xml:space="preserve">, and </w:t>
      </w:r>
      <w:r>
        <w:rPr>
          <w:rFonts w:ascii="Courier New" w:hAnsi="Courier New"/>
          <w:sz w:val="18"/>
        </w:rPr>
        <w:t>0.00</w:t>
      </w:r>
      <w:r>
        <w:t>. The t-test uses their average. The Wilcoxon test removes the zero, ranks the other three changes by size, and compares the positive ranks with the negative rank. The real report applies these tests to hundreds or thousands of CVEs, not only four.</w:t>
      </w:r>
    </w:p>
    <w:tbl>
      <w:tblPr>
        <w:tblStyle w:val="TableGrid"/>
        <w:tblW w:type="auto" w:w="0"/>
        <w:tblLayout w:type="autofit"/>
        <w:tblLook w:firstColumn="1" w:firstRow="1" w:lastColumn="0" w:lastRow="0" w:noHBand="0" w:noVBand="1" w:val="04A0"/>
      </w:tblPr>
      <w:tblGrid>
        <w:gridCol w:w="759"/>
        <w:gridCol w:w="759"/>
        <w:gridCol w:w="759"/>
        <w:gridCol w:w="759"/>
        <w:gridCol w:w="759"/>
        <w:gridCol w:w="759"/>
        <w:gridCol w:w="759"/>
        <w:gridCol w:w="759"/>
        <w:gridCol w:w="759"/>
        <w:gridCol w:w="759"/>
        <w:gridCol w:w="759"/>
        <w:gridCol w:w="759"/>
        <w:gridCol w:w="759"/>
      </w:tblGrid>
      <w:tr>
        <w:trPr>
          <w:tblHeader w:val="true"/>
          <w:cantSplit w:val="true"/>
        </w:trPr>
        <w:tc>
          <w:tcPr>
            <w:tcW w:type="dxa" w:w="759"/>
            <w:vAlign w:val="center"/>
            <w:shd w:fill="D9E6F5"/>
          </w:tcPr>
          <w:p>
            <w:pPr>
              <w:spacing w:after="0"/>
            </w:pPr>
            <w:r/>
            <w:r>
              <w:rPr>
                <w:rFonts w:ascii="Arial" w:hAnsi="Arial"/>
                <w:b/>
                <w:sz w:val="14"/>
              </w:rPr>
              <w:t>EPSS change definition</w:t>
            </w:r>
          </w:p>
        </w:tc>
        <w:tc>
          <w:tcPr>
            <w:tcW w:type="dxa" w:w="759"/>
            <w:vAlign w:val="center"/>
            <w:shd w:fill="D9E6F5"/>
          </w:tcPr>
          <w:p>
            <w:pPr>
              <w:spacing w:after="0"/>
            </w:pPr>
            <w:r/>
            <w:r>
              <w:rPr>
                <w:rFonts w:ascii="Arial" w:hAnsi="Arial"/>
                <w:b/>
                <w:sz w:val="14"/>
              </w:rPr>
              <w:t>CVEs</w:t>
            </w:r>
          </w:p>
        </w:tc>
        <w:tc>
          <w:tcPr>
            <w:tcW w:type="dxa" w:w="759"/>
            <w:vAlign w:val="center"/>
            <w:shd w:fill="D9E6F5"/>
          </w:tcPr>
          <w:p>
            <w:pPr>
              <w:spacing w:after="0"/>
            </w:pPr>
            <w:r/>
            <w:r>
              <w:rPr>
                <w:rFonts w:ascii="Arial" w:hAnsi="Arial"/>
                <w:b/>
                <w:sz w:val="14"/>
              </w:rPr>
              <w:t>Mean change</w:t>
            </w:r>
          </w:p>
        </w:tc>
        <w:tc>
          <w:tcPr>
            <w:tcW w:type="dxa" w:w="759"/>
            <w:vAlign w:val="center"/>
            <w:shd w:fill="D9E6F5"/>
          </w:tcPr>
          <w:p>
            <w:pPr>
              <w:spacing w:after="0"/>
            </w:pPr>
            <w:r/>
            <w:r>
              <w:rPr>
                <w:rFonts w:ascii="Arial" w:hAnsi="Arial"/>
                <w:b/>
                <w:sz w:val="14"/>
              </w:rPr>
              <w:t>Median change</w:t>
            </w:r>
          </w:p>
        </w:tc>
        <w:tc>
          <w:tcPr>
            <w:tcW w:type="dxa" w:w="759"/>
            <w:vAlign w:val="center"/>
            <w:shd w:fill="D9E6F5"/>
          </w:tcPr>
          <w:p>
            <w:pPr>
              <w:spacing w:after="0"/>
            </w:pPr>
            <w:r/>
            <w:r>
              <w:rPr>
                <w:rFonts w:ascii="Arial" w:hAnsi="Arial"/>
                <w:b/>
                <w:sz w:val="14"/>
              </w:rPr>
              <w:t>25th percentile</w:t>
            </w:r>
          </w:p>
        </w:tc>
        <w:tc>
          <w:tcPr>
            <w:tcW w:type="dxa" w:w="759"/>
            <w:vAlign w:val="center"/>
            <w:shd w:fill="D9E6F5"/>
          </w:tcPr>
          <w:p>
            <w:pPr>
              <w:spacing w:after="0"/>
            </w:pPr>
            <w:r/>
            <w:r>
              <w:rPr>
                <w:rFonts w:ascii="Arial" w:hAnsi="Arial"/>
                <w:b/>
                <w:sz w:val="14"/>
              </w:rPr>
              <w:t>75th percentile</w:t>
            </w:r>
          </w:p>
        </w:tc>
        <w:tc>
          <w:tcPr>
            <w:tcW w:type="dxa" w:w="759"/>
            <w:vAlign w:val="center"/>
            <w:shd w:fill="D9E6F5"/>
          </w:tcPr>
          <w:p>
            <w:pPr>
              <w:spacing w:after="0"/>
            </w:pPr>
            <w:r/>
            <w:r>
              <w:rPr>
                <w:rFonts w:ascii="Arial" w:hAnsi="Arial"/>
                <w:b/>
                <w:sz w:val="14"/>
              </w:rPr>
              <w:t>Increased</w:t>
            </w:r>
          </w:p>
        </w:tc>
        <w:tc>
          <w:tcPr>
            <w:tcW w:type="dxa" w:w="759"/>
            <w:vAlign w:val="center"/>
            <w:shd w:fill="D9E6F5"/>
          </w:tcPr>
          <w:p>
            <w:pPr>
              <w:spacing w:after="0"/>
            </w:pPr>
            <w:r/>
            <w:r>
              <w:rPr>
                <w:rFonts w:ascii="Arial" w:hAnsi="Arial"/>
                <w:b/>
                <w:sz w:val="14"/>
              </w:rPr>
              <w:t>Decreased</w:t>
            </w:r>
          </w:p>
        </w:tc>
        <w:tc>
          <w:tcPr>
            <w:tcW w:type="dxa" w:w="759"/>
            <w:vAlign w:val="center"/>
            <w:shd w:fill="D9E6F5"/>
          </w:tcPr>
          <w:p>
            <w:pPr>
              <w:spacing w:after="0"/>
            </w:pPr>
            <w:r/>
            <w:r>
              <w:rPr>
                <w:rFonts w:ascii="Arial" w:hAnsi="Arial"/>
                <w:b/>
                <w:sz w:val="14"/>
              </w:rPr>
              <w:t>No change</w:t>
            </w:r>
          </w:p>
        </w:tc>
        <w:tc>
          <w:tcPr>
            <w:tcW w:type="dxa" w:w="759"/>
            <w:vAlign w:val="center"/>
            <w:shd w:fill="D9E6F5"/>
          </w:tcPr>
          <w:p>
            <w:pPr>
              <w:spacing w:after="0"/>
            </w:pPr>
            <w:r/>
            <w:r>
              <w:rPr>
                <w:rFonts w:ascii="Arial" w:hAnsi="Arial"/>
                <w:b/>
                <w:sz w:val="14"/>
              </w:rPr>
              <w:t>Increased (%)</w:t>
            </w:r>
          </w:p>
        </w:tc>
        <w:tc>
          <w:tcPr>
            <w:tcW w:type="dxa" w:w="759"/>
            <w:vAlign w:val="center"/>
            <w:shd w:fill="D9E6F5"/>
          </w:tcPr>
          <w:p>
            <w:pPr>
              <w:spacing w:after="0"/>
            </w:pPr>
            <w:r/>
            <w:r>
              <w:rPr>
                <w:rFonts w:ascii="Arial" w:hAnsi="Arial"/>
                <w:b/>
                <w:sz w:val="14"/>
              </w:rPr>
              <w:t>Decreased (%)</w:t>
            </w:r>
          </w:p>
        </w:tc>
        <w:tc>
          <w:tcPr>
            <w:tcW w:type="dxa" w:w="759"/>
            <w:vAlign w:val="center"/>
            <w:shd w:fill="D9E6F5"/>
          </w:tcPr>
          <w:p>
            <w:pPr>
              <w:spacing w:after="0"/>
            </w:pPr>
            <w:r/>
            <w:r>
              <w:rPr>
                <w:rFonts w:ascii="Arial" w:hAnsi="Arial"/>
                <w:b/>
                <w:sz w:val="14"/>
              </w:rPr>
              <w:t>t-test p-value</w:t>
            </w:r>
          </w:p>
        </w:tc>
        <w:tc>
          <w:tcPr>
            <w:tcW w:type="dxa" w:w="759"/>
            <w:vAlign w:val="center"/>
            <w:shd w:fill="D9E6F5"/>
          </w:tcPr>
          <w:p>
            <w:pPr>
              <w:spacing w:after="0"/>
            </w:pPr>
            <w:r/>
            <w:r>
              <w:rPr>
                <w:rFonts w:ascii="Arial" w:hAnsi="Arial"/>
                <w:b/>
                <w:sz w:val="14"/>
              </w:rPr>
              <w:t>Wilcoxon p-value</w:t>
            </w:r>
          </w:p>
        </w:tc>
      </w:tr>
      <w:tr>
        <w:trPr>
          <w:cantSplit w:val="true"/>
        </w:trPr>
        <w:tc>
          <w:tcPr>
            <w:tcW w:type="dxa" w:w="759"/>
            <w:vAlign w:val="center"/>
          </w:tcPr>
          <w:p>
            <w:pPr>
              <w:spacing w:after="0"/>
            </w:pPr>
            <w:r/>
            <w:r>
              <w:rPr>
                <w:rFonts w:ascii="Arial" w:hAnsi="Arial"/>
                <w:b w:val="0"/>
                <w:sz w:val="14"/>
              </w:rPr>
              <w:t>Change from t-7 to t-1</w:t>
            </w:r>
          </w:p>
        </w:tc>
        <w:tc>
          <w:tcPr>
            <w:tcW w:type="dxa" w:w="759"/>
            <w:vAlign w:val="center"/>
          </w:tcPr>
          <w:p>
            <w:pPr>
              <w:spacing w:after="0"/>
            </w:pPr>
            <w:r/>
            <w:r>
              <w:rPr>
                <w:rFonts w:ascii="Arial" w:hAnsi="Arial"/>
                <w:b w:val="0"/>
                <w:sz w:val="14"/>
              </w:rPr>
              <w:t>924</w:t>
            </w:r>
          </w:p>
        </w:tc>
        <w:tc>
          <w:tcPr>
            <w:tcW w:type="dxa" w:w="759"/>
            <w:vAlign w:val="center"/>
          </w:tcPr>
          <w:p>
            <w:pPr>
              <w:spacing w:after="0"/>
            </w:pPr>
            <w:r/>
            <w:r>
              <w:rPr>
                <w:rFonts w:ascii="Arial" w:hAnsi="Arial"/>
                <w:b w:val="0"/>
                <w:sz w:val="14"/>
              </w:rPr>
              <w:t>0.0059892</w:t>
            </w:r>
          </w:p>
        </w:tc>
        <w:tc>
          <w:tcPr>
            <w:tcW w:type="dxa" w:w="759"/>
            <w:vAlign w:val="center"/>
          </w:tcPr>
          <w:p>
            <w:pPr>
              <w:spacing w:after="0"/>
            </w:pPr>
            <w:r/>
            <w:r>
              <w:rPr>
                <w:rFonts w:ascii="Arial" w:hAnsi="Arial"/>
                <w:b w:val="0"/>
                <w:sz w:val="14"/>
              </w:rPr>
              <w:t>0</w:t>
            </w:r>
          </w:p>
        </w:tc>
        <w:tc>
          <w:tcPr>
            <w:tcW w:type="dxa" w:w="759"/>
            <w:vAlign w:val="center"/>
          </w:tcPr>
          <w:p>
            <w:pPr>
              <w:spacing w:after="0"/>
            </w:pPr>
            <w:r/>
            <w:r>
              <w:rPr>
                <w:rFonts w:ascii="Arial" w:hAnsi="Arial"/>
                <w:b w:val="0"/>
                <w:sz w:val="14"/>
              </w:rPr>
              <w:t>0</w:t>
            </w:r>
          </w:p>
        </w:tc>
        <w:tc>
          <w:tcPr>
            <w:tcW w:type="dxa" w:w="759"/>
            <w:vAlign w:val="center"/>
          </w:tcPr>
          <w:p>
            <w:pPr>
              <w:spacing w:after="0"/>
            </w:pPr>
            <w:r/>
            <w:r>
              <w:rPr>
                <w:rFonts w:ascii="Arial" w:hAnsi="Arial"/>
                <w:b w:val="0"/>
                <w:sz w:val="14"/>
              </w:rPr>
              <w:t>0</w:t>
            </w:r>
          </w:p>
        </w:tc>
        <w:tc>
          <w:tcPr>
            <w:tcW w:type="dxa" w:w="759"/>
            <w:vAlign w:val="center"/>
          </w:tcPr>
          <w:p>
            <w:pPr>
              <w:spacing w:after="0"/>
            </w:pPr>
            <w:r/>
            <w:r>
              <w:rPr>
                <w:rFonts w:ascii="Arial" w:hAnsi="Arial"/>
                <w:b w:val="0"/>
                <w:sz w:val="14"/>
              </w:rPr>
              <w:t>198</w:t>
            </w:r>
          </w:p>
        </w:tc>
        <w:tc>
          <w:tcPr>
            <w:tcW w:type="dxa" w:w="759"/>
            <w:vAlign w:val="center"/>
          </w:tcPr>
          <w:p>
            <w:pPr>
              <w:spacing w:after="0"/>
            </w:pPr>
            <w:r/>
            <w:r>
              <w:rPr>
                <w:rFonts w:ascii="Arial" w:hAnsi="Arial"/>
                <w:b w:val="0"/>
                <w:sz w:val="14"/>
              </w:rPr>
              <w:t>83</w:t>
            </w:r>
          </w:p>
        </w:tc>
        <w:tc>
          <w:tcPr>
            <w:tcW w:type="dxa" w:w="759"/>
            <w:vAlign w:val="center"/>
          </w:tcPr>
          <w:p>
            <w:pPr>
              <w:spacing w:after="0"/>
            </w:pPr>
            <w:r/>
            <w:r>
              <w:rPr>
                <w:rFonts w:ascii="Arial" w:hAnsi="Arial"/>
                <w:b w:val="0"/>
                <w:sz w:val="14"/>
              </w:rPr>
              <w:t>643</w:t>
            </w:r>
          </w:p>
        </w:tc>
        <w:tc>
          <w:tcPr>
            <w:tcW w:type="dxa" w:w="759"/>
            <w:vAlign w:val="center"/>
          </w:tcPr>
          <w:p>
            <w:pPr>
              <w:spacing w:after="0"/>
            </w:pPr>
            <w:r/>
            <w:r>
              <w:rPr>
                <w:rFonts w:ascii="Arial" w:hAnsi="Arial"/>
                <w:b w:val="0"/>
                <w:sz w:val="14"/>
              </w:rPr>
              <w:t>21.43</w:t>
            </w:r>
          </w:p>
        </w:tc>
        <w:tc>
          <w:tcPr>
            <w:tcW w:type="dxa" w:w="759"/>
            <w:vAlign w:val="center"/>
          </w:tcPr>
          <w:p>
            <w:pPr>
              <w:spacing w:after="0"/>
            </w:pPr>
            <w:r/>
            <w:r>
              <w:rPr>
                <w:rFonts w:ascii="Arial" w:hAnsi="Arial"/>
                <w:b w:val="0"/>
                <w:sz w:val="14"/>
              </w:rPr>
              <w:t>8.98</w:t>
            </w:r>
          </w:p>
        </w:tc>
        <w:tc>
          <w:tcPr>
            <w:tcW w:type="dxa" w:w="759"/>
            <w:vAlign w:val="center"/>
          </w:tcPr>
          <w:p>
            <w:pPr>
              <w:spacing w:after="0"/>
            </w:pPr>
            <w:r/>
            <w:r>
              <w:rPr>
                <w:rFonts w:ascii="Arial" w:hAnsi="Arial"/>
                <w:b w:val="0"/>
                <w:sz w:val="14"/>
              </w:rPr>
              <w:t>0.025298</w:t>
            </w:r>
          </w:p>
        </w:tc>
        <w:tc>
          <w:tcPr>
            <w:tcW w:type="dxa" w:w="759"/>
            <w:vAlign w:val="center"/>
          </w:tcPr>
          <w:p>
            <w:pPr>
              <w:spacing w:after="0"/>
            </w:pPr>
            <w:r/>
            <w:r>
              <w:rPr>
                <w:rFonts w:ascii="Arial" w:hAnsi="Arial"/>
                <w:b w:val="0"/>
                <w:sz w:val="14"/>
              </w:rPr>
              <w:t>3.1442e-06</w:t>
            </w:r>
          </w:p>
        </w:tc>
      </w:tr>
      <w:tr>
        <w:trPr>
          <w:cantSplit w:val="true"/>
        </w:trPr>
        <w:tc>
          <w:tcPr>
            <w:tcW w:type="dxa" w:w="759"/>
            <w:vAlign w:val="center"/>
          </w:tcPr>
          <w:p>
            <w:pPr>
              <w:spacing w:after="0"/>
            </w:pPr>
            <w:r/>
            <w:r>
              <w:rPr>
                <w:rFonts w:ascii="Arial" w:hAnsi="Arial"/>
                <w:b w:val="0"/>
                <w:sz w:val="14"/>
              </w:rPr>
              <w:t>Change from t-7 to event anchor</w:t>
            </w:r>
          </w:p>
        </w:tc>
        <w:tc>
          <w:tcPr>
            <w:tcW w:type="dxa" w:w="759"/>
            <w:vAlign w:val="center"/>
          </w:tcPr>
          <w:p>
            <w:pPr>
              <w:spacing w:after="0"/>
            </w:pPr>
            <w:r/>
            <w:r>
              <w:rPr>
                <w:rFonts w:ascii="Arial" w:hAnsi="Arial"/>
                <w:b w:val="0"/>
                <w:sz w:val="14"/>
              </w:rPr>
              <w:t>935</w:t>
            </w:r>
          </w:p>
        </w:tc>
        <w:tc>
          <w:tcPr>
            <w:tcW w:type="dxa" w:w="759"/>
            <w:vAlign w:val="center"/>
          </w:tcPr>
          <w:p>
            <w:pPr>
              <w:spacing w:after="0"/>
            </w:pPr>
            <w:r/>
            <w:r>
              <w:rPr>
                <w:rFonts w:ascii="Arial" w:hAnsi="Arial"/>
                <w:b w:val="0"/>
                <w:sz w:val="14"/>
              </w:rPr>
              <w:t>0.010968</w:t>
            </w:r>
          </w:p>
        </w:tc>
        <w:tc>
          <w:tcPr>
            <w:tcW w:type="dxa" w:w="759"/>
            <w:vAlign w:val="center"/>
          </w:tcPr>
          <w:p>
            <w:pPr>
              <w:spacing w:after="0"/>
            </w:pPr>
            <w:r/>
            <w:r>
              <w:rPr>
                <w:rFonts w:ascii="Arial" w:hAnsi="Arial"/>
                <w:b w:val="0"/>
                <w:sz w:val="14"/>
              </w:rPr>
              <w:t>0</w:t>
            </w:r>
          </w:p>
        </w:tc>
        <w:tc>
          <w:tcPr>
            <w:tcW w:type="dxa" w:w="759"/>
            <w:vAlign w:val="center"/>
          </w:tcPr>
          <w:p>
            <w:pPr>
              <w:spacing w:after="0"/>
            </w:pPr>
            <w:r/>
            <w:r>
              <w:rPr>
                <w:rFonts w:ascii="Arial" w:hAnsi="Arial"/>
                <w:b w:val="0"/>
                <w:sz w:val="14"/>
              </w:rPr>
              <w:t>0</w:t>
            </w:r>
          </w:p>
        </w:tc>
        <w:tc>
          <w:tcPr>
            <w:tcW w:type="dxa" w:w="759"/>
            <w:vAlign w:val="center"/>
          </w:tcPr>
          <w:p>
            <w:pPr>
              <w:spacing w:after="0"/>
            </w:pPr>
            <w:r/>
            <w:r>
              <w:rPr>
                <w:rFonts w:ascii="Arial" w:hAnsi="Arial"/>
                <w:b w:val="0"/>
                <w:sz w:val="14"/>
              </w:rPr>
              <w:t>1e-05</w:t>
            </w:r>
          </w:p>
        </w:tc>
        <w:tc>
          <w:tcPr>
            <w:tcW w:type="dxa" w:w="759"/>
            <w:vAlign w:val="center"/>
          </w:tcPr>
          <w:p>
            <w:pPr>
              <w:spacing w:after="0"/>
            </w:pPr>
            <w:r/>
            <w:r>
              <w:rPr>
                <w:rFonts w:ascii="Arial" w:hAnsi="Arial"/>
                <w:b w:val="0"/>
                <w:sz w:val="14"/>
              </w:rPr>
              <w:t>235</w:t>
            </w:r>
          </w:p>
        </w:tc>
        <w:tc>
          <w:tcPr>
            <w:tcW w:type="dxa" w:w="759"/>
            <w:vAlign w:val="center"/>
          </w:tcPr>
          <w:p>
            <w:pPr>
              <w:spacing w:after="0"/>
            </w:pPr>
            <w:r/>
            <w:r>
              <w:rPr>
                <w:rFonts w:ascii="Arial" w:hAnsi="Arial"/>
                <w:b w:val="0"/>
                <w:sz w:val="14"/>
              </w:rPr>
              <w:t>89</w:t>
            </w:r>
          </w:p>
        </w:tc>
        <w:tc>
          <w:tcPr>
            <w:tcW w:type="dxa" w:w="759"/>
            <w:vAlign w:val="center"/>
          </w:tcPr>
          <w:p>
            <w:pPr>
              <w:spacing w:after="0"/>
            </w:pPr>
            <w:r/>
            <w:r>
              <w:rPr>
                <w:rFonts w:ascii="Arial" w:hAnsi="Arial"/>
                <w:b w:val="0"/>
                <w:sz w:val="14"/>
              </w:rPr>
              <w:t>611</w:t>
            </w:r>
          </w:p>
        </w:tc>
        <w:tc>
          <w:tcPr>
            <w:tcW w:type="dxa" w:w="759"/>
            <w:vAlign w:val="center"/>
          </w:tcPr>
          <w:p>
            <w:pPr>
              <w:spacing w:after="0"/>
            </w:pPr>
            <w:r/>
            <w:r>
              <w:rPr>
                <w:rFonts w:ascii="Arial" w:hAnsi="Arial"/>
                <w:b w:val="0"/>
                <w:sz w:val="14"/>
              </w:rPr>
              <w:t>25.13</w:t>
            </w:r>
          </w:p>
        </w:tc>
        <w:tc>
          <w:tcPr>
            <w:tcW w:type="dxa" w:w="759"/>
            <w:vAlign w:val="center"/>
          </w:tcPr>
          <w:p>
            <w:pPr>
              <w:spacing w:after="0"/>
            </w:pPr>
            <w:r/>
            <w:r>
              <w:rPr>
                <w:rFonts w:ascii="Arial" w:hAnsi="Arial"/>
                <w:b w:val="0"/>
                <w:sz w:val="14"/>
              </w:rPr>
              <w:t>9.52</w:t>
            </w:r>
          </w:p>
        </w:tc>
        <w:tc>
          <w:tcPr>
            <w:tcW w:type="dxa" w:w="759"/>
            <w:vAlign w:val="center"/>
          </w:tcPr>
          <w:p>
            <w:pPr>
              <w:spacing w:after="0"/>
            </w:pPr>
            <w:r/>
            <w:r>
              <w:rPr>
                <w:rFonts w:ascii="Arial" w:hAnsi="Arial"/>
                <w:b w:val="0"/>
                <w:sz w:val="14"/>
              </w:rPr>
              <w:t>0.00055532</w:t>
            </w:r>
          </w:p>
        </w:tc>
        <w:tc>
          <w:tcPr>
            <w:tcW w:type="dxa" w:w="759"/>
            <w:vAlign w:val="center"/>
          </w:tcPr>
          <w:p>
            <w:pPr>
              <w:spacing w:after="0"/>
            </w:pPr>
            <w:r/>
            <w:r>
              <w:rPr>
                <w:rFonts w:ascii="Arial" w:hAnsi="Arial"/>
                <w:b w:val="0"/>
                <w:sz w:val="14"/>
              </w:rPr>
              <w:t>1.7022e-09</w:t>
            </w:r>
          </w:p>
        </w:tc>
      </w:tr>
      <w:tr>
        <w:trPr>
          <w:cantSplit w:val="true"/>
        </w:trPr>
        <w:tc>
          <w:tcPr>
            <w:tcW w:type="dxa" w:w="759"/>
            <w:vAlign w:val="center"/>
          </w:tcPr>
          <w:p>
            <w:pPr>
              <w:spacing w:after="0"/>
            </w:pPr>
            <w:r/>
            <w:r>
              <w:rPr>
                <w:rFonts w:ascii="Arial" w:hAnsi="Arial"/>
                <w:b w:val="0"/>
                <w:sz w:val="14"/>
              </w:rPr>
              <w:t>Change from anchor to t+7</w:t>
            </w:r>
          </w:p>
        </w:tc>
        <w:tc>
          <w:tcPr>
            <w:tcW w:type="dxa" w:w="759"/>
            <w:vAlign w:val="center"/>
          </w:tcPr>
          <w:p>
            <w:pPr>
              <w:spacing w:after="0"/>
            </w:pPr>
            <w:r/>
            <w:r>
              <w:rPr>
                <w:rFonts w:ascii="Arial" w:hAnsi="Arial"/>
                <w:b w:val="0"/>
                <w:sz w:val="14"/>
              </w:rPr>
              <w:t>4092</w:t>
            </w:r>
          </w:p>
        </w:tc>
        <w:tc>
          <w:tcPr>
            <w:tcW w:type="dxa" w:w="759"/>
            <w:vAlign w:val="center"/>
          </w:tcPr>
          <w:p>
            <w:pPr>
              <w:spacing w:after="0"/>
            </w:pPr>
            <w:r/>
            <w:r>
              <w:rPr>
                <w:rFonts w:ascii="Arial" w:hAnsi="Arial"/>
                <w:b w:val="0"/>
                <w:sz w:val="14"/>
              </w:rPr>
              <w:t>0.0066415</w:t>
            </w:r>
          </w:p>
        </w:tc>
        <w:tc>
          <w:tcPr>
            <w:tcW w:type="dxa" w:w="759"/>
            <w:vAlign w:val="center"/>
          </w:tcPr>
          <w:p>
            <w:pPr>
              <w:spacing w:after="0"/>
            </w:pPr>
            <w:r/>
            <w:r>
              <w:rPr>
                <w:rFonts w:ascii="Arial" w:hAnsi="Arial"/>
                <w:b w:val="0"/>
                <w:sz w:val="14"/>
              </w:rPr>
              <w:t>0</w:t>
            </w:r>
          </w:p>
        </w:tc>
        <w:tc>
          <w:tcPr>
            <w:tcW w:type="dxa" w:w="759"/>
            <w:vAlign w:val="center"/>
          </w:tcPr>
          <w:p>
            <w:pPr>
              <w:spacing w:after="0"/>
            </w:pPr>
            <w:r/>
            <w:r>
              <w:rPr>
                <w:rFonts w:ascii="Arial" w:hAnsi="Arial"/>
                <w:b w:val="0"/>
                <w:sz w:val="14"/>
              </w:rPr>
              <w:t>0</w:t>
            </w:r>
          </w:p>
        </w:tc>
        <w:tc>
          <w:tcPr>
            <w:tcW w:type="dxa" w:w="759"/>
            <w:vAlign w:val="center"/>
          </w:tcPr>
          <w:p>
            <w:pPr>
              <w:spacing w:after="0"/>
            </w:pPr>
            <w:r/>
            <w:r>
              <w:rPr>
                <w:rFonts w:ascii="Arial" w:hAnsi="Arial"/>
                <w:b w:val="0"/>
                <w:sz w:val="14"/>
              </w:rPr>
              <w:t>0.0001</w:t>
            </w:r>
          </w:p>
        </w:tc>
        <w:tc>
          <w:tcPr>
            <w:tcW w:type="dxa" w:w="759"/>
            <w:vAlign w:val="center"/>
          </w:tcPr>
          <w:p>
            <w:pPr>
              <w:spacing w:after="0"/>
            </w:pPr>
            <w:r/>
            <w:r>
              <w:rPr>
                <w:rFonts w:ascii="Arial" w:hAnsi="Arial"/>
                <w:b w:val="0"/>
                <w:sz w:val="14"/>
              </w:rPr>
              <w:t>1492</w:t>
            </w:r>
          </w:p>
        </w:tc>
        <w:tc>
          <w:tcPr>
            <w:tcW w:type="dxa" w:w="759"/>
            <w:vAlign w:val="center"/>
          </w:tcPr>
          <w:p>
            <w:pPr>
              <w:spacing w:after="0"/>
            </w:pPr>
            <w:r/>
            <w:r>
              <w:rPr>
                <w:rFonts w:ascii="Arial" w:hAnsi="Arial"/>
                <w:b w:val="0"/>
                <w:sz w:val="14"/>
              </w:rPr>
              <w:t>351</w:t>
            </w:r>
          </w:p>
        </w:tc>
        <w:tc>
          <w:tcPr>
            <w:tcW w:type="dxa" w:w="759"/>
            <w:vAlign w:val="center"/>
          </w:tcPr>
          <w:p>
            <w:pPr>
              <w:spacing w:after="0"/>
            </w:pPr>
            <w:r/>
            <w:r>
              <w:rPr>
                <w:rFonts w:ascii="Arial" w:hAnsi="Arial"/>
                <w:b w:val="0"/>
                <w:sz w:val="14"/>
              </w:rPr>
              <w:t>2249</w:t>
            </w:r>
          </w:p>
        </w:tc>
        <w:tc>
          <w:tcPr>
            <w:tcW w:type="dxa" w:w="759"/>
            <w:vAlign w:val="center"/>
          </w:tcPr>
          <w:p>
            <w:pPr>
              <w:spacing w:after="0"/>
            </w:pPr>
            <w:r/>
            <w:r>
              <w:rPr>
                <w:rFonts w:ascii="Arial" w:hAnsi="Arial"/>
                <w:b w:val="0"/>
                <w:sz w:val="14"/>
              </w:rPr>
              <w:t>36.46</w:t>
            </w:r>
          </w:p>
        </w:tc>
        <w:tc>
          <w:tcPr>
            <w:tcW w:type="dxa" w:w="759"/>
            <w:vAlign w:val="center"/>
          </w:tcPr>
          <w:p>
            <w:pPr>
              <w:spacing w:after="0"/>
            </w:pPr>
            <w:r/>
            <w:r>
              <w:rPr>
                <w:rFonts w:ascii="Arial" w:hAnsi="Arial"/>
                <w:b w:val="0"/>
                <w:sz w:val="14"/>
              </w:rPr>
              <w:t>8.58</w:t>
            </w:r>
          </w:p>
        </w:tc>
        <w:tc>
          <w:tcPr>
            <w:tcW w:type="dxa" w:w="759"/>
            <w:vAlign w:val="center"/>
          </w:tcPr>
          <w:p>
            <w:pPr>
              <w:spacing w:after="0"/>
            </w:pPr>
            <w:r/>
            <w:r>
              <w:rPr>
                <w:rFonts w:ascii="Arial" w:hAnsi="Arial"/>
                <w:b w:val="0"/>
                <w:sz w:val="14"/>
              </w:rPr>
              <w:t>8.76e-12</w:t>
            </w:r>
          </w:p>
        </w:tc>
        <w:tc>
          <w:tcPr>
            <w:tcW w:type="dxa" w:w="759"/>
            <w:vAlign w:val="center"/>
          </w:tcPr>
          <w:p>
            <w:pPr>
              <w:spacing w:after="0"/>
            </w:pPr>
            <w:r/>
            <w:r>
              <w:rPr>
                <w:rFonts w:ascii="Arial" w:hAnsi="Arial"/>
                <w:b w:val="0"/>
                <w:sz w:val="14"/>
              </w:rPr>
              <w:t>1.4583e-123</w:t>
            </w:r>
          </w:p>
        </w:tc>
      </w:tr>
      <w:tr>
        <w:trPr>
          <w:cantSplit w:val="true"/>
        </w:trPr>
        <w:tc>
          <w:tcPr>
            <w:tcW w:type="dxa" w:w="759"/>
            <w:vAlign w:val="center"/>
          </w:tcPr>
          <w:p>
            <w:pPr>
              <w:spacing w:after="0"/>
            </w:pPr>
            <w:r/>
            <w:r>
              <w:rPr>
                <w:rFonts w:ascii="Arial" w:hAnsi="Arial"/>
                <w:b w:val="0"/>
                <w:sz w:val="14"/>
              </w:rPr>
              <w:t>Change from anchor to t+30</w:t>
            </w:r>
          </w:p>
        </w:tc>
        <w:tc>
          <w:tcPr>
            <w:tcW w:type="dxa" w:w="759"/>
            <w:vAlign w:val="center"/>
          </w:tcPr>
          <w:p>
            <w:pPr>
              <w:spacing w:after="0"/>
            </w:pPr>
            <w:r/>
            <w:r>
              <w:rPr>
                <w:rFonts w:ascii="Arial" w:hAnsi="Arial"/>
                <w:b w:val="0"/>
                <w:sz w:val="14"/>
              </w:rPr>
              <w:t>4088</w:t>
            </w:r>
          </w:p>
        </w:tc>
        <w:tc>
          <w:tcPr>
            <w:tcW w:type="dxa" w:w="759"/>
            <w:vAlign w:val="center"/>
          </w:tcPr>
          <w:p>
            <w:pPr>
              <w:spacing w:after="0"/>
            </w:pPr>
            <w:r/>
            <w:r>
              <w:rPr>
                <w:rFonts w:ascii="Arial" w:hAnsi="Arial"/>
                <w:b w:val="0"/>
                <w:sz w:val="14"/>
              </w:rPr>
              <w:t>0.013006</w:t>
            </w:r>
          </w:p>
        </w:tc>
        <w:tc>
          <w:tcPr>
            <w:tcW w:type="dxa" w:w="759"/>
            <w:vAlign w:val="center"/>
          </w:tcPr>
          <w:p>
            <w:pPr>
              <w:spacing w:after="0"/>
            </w:pPr>
            <w:r/>
            <w:r>
              <w:rPr>
                <w:rFonts w:ascii="Arial" w:hAnsi="Arial"/>
                <w:b w:val="0"/>
                <w:sz w:val="14"/>
              </w:rPr>
              <w:t>0</w:t>
            </w:r>
          </w:p>
        </w:tc>
        <w:tc>
          <w:tcPr>
            <w:tcW w:type="dxa" w:w="759"/>
            <w:vAlign w:val="center"/>
          </w:tcPr>
          <w:p>
            <w:pPr>
              <w:spacing w:after="0"/>
            </w:pPr>
            <w:r/>
            <w:r>
              <w:rPr>
                <w:rFonts w:ascii="Arial" w:hAnsi="Arial"/>
                <w:b w:val="0"/>
                <w:sz w:val="14"/>
              </w:rPr>
              <w:t>0</w:t>
            </w:r>
          </w:p>
        </w:tc>
        <w:tc>
          <w:tcPr>
            <w:tcW w:type="dxa" w:w="759"/>
            <w:vAlign w:val="center"/>
          </w:tcPr>
          <w:p>
            <w:pPr>
              <w:spacing w:after="0"/>
            </w:pPr>
            <w:r/>
            <w:r>
              <w:rPr>
                <w:rFonts w:ascii="Arial" w:hAnsi="Arial"/>
                <w:b w:val="0"/>
                <w:sz w:val="14"/>
              </w:rPr>
              <w:t>0.00027</w:t>
            </w:r>
          </w:p>
        </w:tc>
        <w:tc>
          <w:tcPr>
            <w:tcW w:type="dxa" w:w="759"/>
            <w:vAlign w:val="center"/>
          </w:tcPr>
          <w:p>
            <w:pPr>
              <w:spacing w:after="0"/>
            </w:pPr>
            <w:r/>
            <w:r>
              <w:rPr>
                <w:rFonts w:ascii="Arial" w:hAnsi="Arial"/>
                <w:b w:val="0"/>
                <w:sz w:val="14"/>
              </w:rPr>
              <w:t>2033</w:t>
            </w:r>
          </w:p>
        </w:tc>
        <w:tc>
          <w:tcPr>
            <w:tcW w:type="dxa" w:w="759"/>
            <w:vAlign w:val="center"/>
          </w:tcPr>
          <w:p>
            <w:pPr>
              <w:spacing w:after="0"/>
            </w:pPr>
            <w:r/>
            <w:r>
              <w:rPr>
                <w:rFonts w:ascii="Arial" w:hAnsi="Arial"/>
                <w:b w:val="0"/>
                <w:sz w:val="14"/>
              </w:rPr>
              <w:t>550</w:t>
            </w:r>
          </w:p>
        </w:tc>
        <w:tc>
          <w:tcPr>
            <w:tcW w:type="dxa" w:w="759"/>
            <w:vAlign w:val="center"/>
          </w:tcPr>
          <w:p>
            <w:pPr>
              <w:spacing w:after="0"/>
            </w:pPr>
            <w:r/>
            <w:r>
              <w:rPr>
                <w:rFonts w:ascii="Arial" w:hAnsi="Arial"/>
                <w:b w:val="0"/>
                <w:sz w:val="14"/>
              </w:rPr>
              <w:t>1505</w:t>
            </w:r>
          </w:p>
        </w:tc>
        <w:tc>
          <w:tcPr>
            <w:tcW w:type="dxa" w:w="759"/>
            <w:vAlign w:val="center"/>
          </w:tcPr>
          <w:p>
            <w:pPr>
              <w:spacing w:after="0"/>
            </w:pPr>
            <w:r/>
            <w:r>
              <w:rPr>
                <w:rFonts w:ascii="Arial" w:hAnsi="Arial"/>
                <w:b w:val="0"/>
                <w:sz w:val="14"/>
              </w:rPr>
              <w:t>49.73</w:t>
            </w:r>
          </w:p>
        </w:tc>
        <w:tc>
          <w:tcPr>
            <w:tcW w:type="dxa" w:w="759"/>
            <w:vAlign w:val="center"/>
          </w:tcPr>
          <w:p>
            <w:pPr>
              <w:spacing w:after="0"/>
            </w:pPr>
            <w:r/>
            <w:r>
              <w:rPr>
                <w:rFonts w:ascii="Arial" w:hAnsi="Arial"/>
                <w:b w:val="0"/>
                <w:sz w:val="14"/>
              </w:rPr>
              <w:t>13.45</w:t>
            </w:r>
          </w:p>
        </w:tc>
        <w:tc>
          <w:tcPr>
            <w:tcW w:type="dxa" w:w="759"/>
            <w:vAlign w:val="center"/>
          </w:tcPr>
          <w:p>
            <w:pPr>
              <w:spacing w:after="0"/>
            </w:pPr>
            <w:r/>
            <w:r>
              <w:rPr>
                <w:rFonts w:ascii="Arial" w:hAnsi="Arial"/>
                <w:b w:val="0"/>
                <w:sz w:val="14"/>
              </w:rPr>
              <w:t>6.4286e-20</w:t>
            </w:r>
          </w:p>
        </w:tc>
        <w:tc>
          <w:tcPr>
            <w:tcW w:type="dxa" w:w="759"/>
            <w:vAlign w:val="center"/>
          </w:tcPr>
          <w:p>
            <w:pPr>
              <w:spacing w:after="0"/>
            </w:pPr>
            <w:r/>
            <w:r>
              <w:rPr>
                <w:rFonts w:ascii="Arial" w:hAnsi="Arial"/>
                <w:b w:val="0"/>
                <w:sz w:val="14"/>
              </w:rPr>
              <w:t>4.6796e-154</w:t>
            </w:r>
          </w:p>
        </w:tc>
      </w:tr>
      <w:tr>
        <w:trPr>
          <w:cantSplit w:val="true"/>
        </w:trPr>
        <w:tc>
          <w:tcPr>
            <w:tcW w:type="dxa" w:w="759"/>
            <w:vAlign w:val="center"/>
          </w:tcPr>
          <w:p>
            <w:pPr>
              <w:spacing w:after="0"/>
            </w:pPr>
            <w:r/>
            <w:r>
              <w:rPr>
                <w:rFonts w:ascii="Arial" w:hAnsi="Arial"/>
                <w:b w:val="0"/>
                <w:sz w:val="14"/>
              </w:rPr>
              <w:t>7-day post change minus 7-day pre-change</w:t>
            </w:r>
          </w:p>
        </w:tc>
        <w:tc>
          <w:tcPr>
            <w:tcW w:type="dxa" w:w="759"/>
            <w:vAlign w:val="center"/>
          </w:tcPr>
          <w:p>
            <w:pPr>
              <w:spacing w:after="0"/>
            </w:pPr>
            <w:r/>
            <w:r>
              <w:rPr>
                <w:rFonts w:ascii="Arial" w:hAnsi="Arial"/>
                <w:b w:val="0"/>
                <w:sz w:val="14"/>
              </w:rPr>
              <w:t>916</w:t>
            </w:r>
          </w:p>
        </w:tc>
        <w:tc>
          <w:tcPr>
            <w:tcW w:type="dxa" w:w="759"/>
            <w:vAlign w:val="center"/>
          </w:tcPr>
          <w:p>
            <w:pPr>
              <w:spacing w:after="0"/>
            </w:pPr>
            <w:r/>
            <w:r>
              <w:rPr>
                <w:rFonts w:ascii="Arial" w:hAnsi="Arial"/>
                <w:b w:val="0"/>
                <w:sz w:val="14"/>
              </w:rPr>
              <w:t>0.0057785</w:t>
            </w:r>
          </w:p>
        </w:tc>
        <w:tc>
          <w:tcPr>
            <w:tcW w:type="dxa" w:w="759"/>
            <w:vAlign w:val="center"/>
          </w:tcPr>
          <w:p>
            <w:pPr>
              <w:spacing w:after="0"/>
            </w:pPr>
            <w:r/>
            <w:r>
              <w:rPr>
                <w:rFonts w:ascii="Arial" w:hAnsi="Arial"/>
                <w:b w:val="0"/>
                <w:sz w:val="14"/>
              </w:rPr>
              <w:t>0</w:t>
            </w:r>
          </w:p>
        </w:tc>
        <w:tc>
          <w:tcPr>
            <w:tcW w:type="dxa" w:w="759"/>
            <w:vAlign w:val="center"/>
          </w:tcPr>
          <w:p>
            <w:pPr>
              <w:spacing w:after="0"/>
            </w:pPr>
            <w:r/>
            <w:r>
              <w:rPr>
                <w:rFonts w:ascii="Arial" w:hAnsi="Arial"/>
                <w:b w:val="0"/>
                <w:sz w:val="14"/>
              </w:rPr>
              <w:t>-5e-05</w:t>
            </w:r>
          </w:p>
        </w:tc>
        <w:tc>
          <w:tcPr>
            <w:tcW w:type="dxa" w:w="759"/>
            <w:vAlign w:val="center"/>
          </w:tcPr>
          <w:p>
            <w:pPr>
              <w:spacing w:after="0"/>
            </w:pPr>
            <w:r/>
            <w:r>
              <w:rPr>
                <w:rFonts w:ascii="Arial" w:hAnsi="Arial"/>
                <w:b w:val="0"/>
                <w:sz w:val="14"/>
              </w:rPr>
              <w:t>0.0005725</w:t>
            </w:r>
          </w:p>
        </w:tc>
        <w:tc>
          <w:tcPr>
            <w:tcW w:type="dxa" w:w="759"/>
            <w:vAlign w:val="center"/>
          </w:tcPr>
          <w:p>
            <w:pPr>
              <w:spacing w:after="0"/>
            </w:pPr>
            <w:r/>
            <w:r>
              <w:rPr>
                <w:rFonts w:ascii="Arial" w:hAnsi="Arial"/>
                <w:b w:val="0"/>
                <w:sz w:val="14"/>
              </w:rPr>
              <w:t>302</w:t>
            </w:r>
          </w:p>
        </w:tc>
        <w:tc>
          <w:tcPr>
            <w:tcW w:type="dxa" w:w="759"/>
            <w:vAlign w:val="center"/>
          </w:tcPr>
          <w:p>
            <w:pPr>
              <w:spacing w:after="0"/>
            </w:pPr>
            <w:r/>
            <w:r>
              <w:rPr>
                <w:rFonts w:ascii="Arial" w:hAnsi="Arial"/>
                <w:b w:val="0"/>
                <w:sz w:val="14"/>
              </w:rPr>
              <w:t>266</w:t>
            </w:r>
          </w:p>
        </w:tc>
        <w:tc>
          <w:tcPr>
            <w:tcW w:type="dxa" w:w="759"/>
            <w:vAlign w:val="center"/>
          </w:tcPr>
          <w:p>
            <w:pPr>
              <w:spacing w:after="0"/>
            </w:pPr>
            <w:r/>
            <w:r>
              <w:rPr>
                <w:rFonts w:ascii="Arial" w:hAnsi="Arial"/>
                <w:b w:val="0"/>
                <w:sz w:val="14"/>
              </w:rPr>
              <w:t>348</w:t>
            </w:r>
          </w:p>
        </w:tc>
        <w:tc>
          <w:tcPr>
            <w:tcW w:type="dxa" w:w="759"/>
            <w:vAlign w:val="center"/>
          </w:tcPr>
          <w:p>
            <w:pPr>
              <w:spacing w:after="0"/>
            </w:pPr>
            <w:r/>
            <w:r>
              <w:rPr>
                <w:rFonts w:ascii="Arial" w:hAnsi="Arial"/>
                <w:b w:val="0"/>
                <w:sz w:val="14"/>
              </w:rPr>
              <w:t>32.97</w:t>
            </w:r>
          </w:p>
        </w:tc>
        <w:tc>
          <w:tcPr>
            <w:tcW w:type="dxa" w:w="759"/>
            <w:vAlign w:val="center"/>
          </w:tcPr>
          <w:p>
            <w:pPr>
              <w:spacing w:after="0"/>
            </w:pPr>
            <w:r/>
            <w:r>
              <w:rPr>
                <w:rFonts w:ascii="Arial" w:hAnsi="Arial"/>
                <w:b w:val="0"/>
                <w:sz w:val="14"/>
              </w:rPr>
              <w:t>29.04</w:t>
            </w:r>
          </w:p>
        </w:tc>
        <w:tc>
          <w:tcPr>
            <w:tcW w:type="dxa" w:w="759"/>
            <w:vAlign w:val="center"/>
          </w:tcPr>
          <w:p>
            <w:pPr>
              <w:spacing w:after="0"/>
            </w:pPr>
            <w:r/>
            <w:r>
              <w:rPr>
                <w:rFonts w:ascii="Arial" w:hAnsi="Arial"/>
                <w:b w:val="0"/>
                <w:sz w:val="14"/>
              </w:rPr>
              <w:t>0.13543</w:t>
            </w:r>
          </w:p>
        </w:tc>
        <w:tc>
          <w:tcPr>
            <w:tcW w:type="dxa" w:w="759"/>
            <w:vAlign w:val="center"/>
          </w:tcPr>
          <w:p>
            <w:pPr>
              <w:spacing w:after="0"/>
            </w:pPr>
            <w:r/>
            <w:r>
              <w:rPr>
                <w:rFonts w:ascii="Arial" w:hAnsi="Arial"/>
                <w:b w:val="0"/>
                <w:sz w:val="14"/>
              </w:rPr>
              <w:t>2.7067e-05</w:t>
            </w:r>
          </w:p>
        </w:tc>
      </w:tr>
      <w:tr>
        <w:trPr>
          <w:cantSplit w:val="true"/>
        </w:trPr>
        <w:tc>
          <w:tcPr>
            <w:tcW w:type="dxa" w:w="759"/>
            <w:vAlign w:val="center"/>
          </w:tcPr>
          <w:p>
            <w:pPr>
              <w:spacing w:after="0"/>
            </w:pPr>
            <w:r/>
            <w:r>
              <w:rPr>
                <w:rFonts w:ascii="Arial" w:hAnsi="Arial"/>
                <w:b w:val="0"/>
                <w:sz w:val="14"/>
              </w:rPr>
              <w:t>30-day post change minus 30-day pre-change</w:t>
            </w:r>
          </w:p>
        </w:tc>
        <w:tc>
          <w:tcPr>
            <w:tcW w:type="dxa" w:w="759"/>
            <w:vAlign w:val="center"/>
          </w:tcPr>
          <w:p>
            <w:pPr>
              <w:spacing w:after="0"/>
            </w:pPr>
            <w:r/>
            <w:r>
              <w:rPr>
                <w:rFonts w:ascii="Arial" w:hAnsi="Arial"/>
                <w:b w:val="0"/>
                <w:sz w:val="14"/>
              </w:rPr>
              <w:t>778</w:t>
            </w:r>
          </w:p>
        </w:tc>
        <w:tc>
          <w:tcPr>
            <w:tcW w:type="dxa" w:w="759"/>
            <w:vAlign w:val="center"/>
          </w:tcPr>
          <w:p>
            <w:pPr>
              <w:spacing w:after="0"/>
            </w:pPr>
            <w:r/>
            <w:r>
              <w:rPr>
                <w:rFonts w:ascii="Arial" w:hAnsi="Arial"/>
                <w:b w:val="0"/>
                <w:sz w:val="14"/>
              </w:rPr>
              <w:t>-0.0096739</w:t>
            </w:r>
          </w:p>
        </w:tc>
        <w:tc>
          <w:tcPr>
            <w:tcW w:type="dxa" w:w="759"/>
            <w:vAlign w:val="center"/>
          </w:tcPr>
          <w:p>
            <w:pPr>
              <w:spacing w:after="0"/>
            </w:pPr>
            <w:r/>
            <w:r>
              <w:rPr>
                <w:rFonts w:ascii="Arial" w:hAnsi="Arial"/>
                <w:b w:val="0"/>
                <w:sz w:val="14"/>
              </w:rPr>
              <w:t>2.5e-05</w:t>
            </w:r>
          </w:p>
        </w:tc>
        <w:tc>
          <w:tcPr>
            <w:tcW w:type="dxa" w:w="759"/>
            <w:vAlign w:val="center"/>
          </w:tcPr>
          <w:p>
            <w:pPr>
              <w:spacing w:after="0"/>
            </w:pPr>
            <w:r/>
            <w:r>
              <w:rPr>
                <w:rFonts w:ascii="Arial" w:hAnsi="Arial"/>
                <w:b w:val="0"/>
                <w:sz w:val="14"/>
              </w:rPr>
              <w:t>-0.001355</w:t>
            </w:r>
          </w:p>
        </w:tc>
        <w:tc>
          <w:tcPr>
            <w:tcW w:type="dxa" w:w="759"/>
            <w:vAlign w:val="center"/>
          </w:tcPr>
          <w:p>
            <w:pPr>
              <w:spacing w:after="0"/>
            </w:pPr>
            <w:r/>
            <w:r>
              <w:rPr>
                <w:rFonts w:ascii="Arial" w:hAnsi="Arial"/>
                <w:b w:val="0"/>
                <w:sz w:val="14"/>
              </w:rPr>
              <w:t>0.0022675</w:t>
            </w:r>
          </w:p>
        </w:tc>
        <w:tc>
          <w:tcPr>
            <w:tcW w:type="dxa" w:w="759"/>
            <w:vAlign w:val="center"/>
          </w:tcPr>
          <w:p>
            <w:pPr>
              <w:spacing w:after="0"/>
            </w:pPr>
            <w:r/>
            <w:r>
              <w:rPr>
                <w:rFonts w:ascii="Arial" w:hAnsi="Arial"/>
                <w:b w:val="0"/>
                <w:sz w:val="14"/>
              </w:rPr>
              <w:t>396</w:t>
            </w:r>
          </w:p>
        </w:tc>
        <w:tc>
          <w:tcPr>
            <w:tcW w:type="dxa" w:w="759"/>
            <w:vAlign w:val="center"/>
          </w:tcPr>
          <w:p>
            <w:pPr>
              <w:spacing w:after="0"/>
            </w:pPr>
            <w:r/>
            <w:r>
              <w:rPr>
                <w:rFonts w:ascii="Arial" w:hAnsi="Arial"/>
                <w:b w:val="0"/>
                <w:sz w:val="14"/>
              </w:rPr>
              <w:t>292</w:t>
            </w:r>
          </w:p>
        </w:tc>
        <w:tc>
          <w:tcPr>
            <w:tcW w:type="dxa" w:w="759"/>
            <w:vAlign w:val="center"/>
          </w:tcPr>
          <w:p>
            <w:pPr>
              <w:spacing w:after="0"/>
            </w:pPr>
            <w:r/>
            <w:r>
              <w:rPr>
                <w:rFonts w:ascii="Arial" w:hAnsi="Arial"/>
                <w:b w:val="0"/>
                <w:sz w:val="14"/>
              </w:rPr>
              <w:t>90</w:t>
            </w:r>
          </w:p>
        </w:tc>
        <w:tc>
          <w:tcPr>
            <w:tcW w:type="dxa" w:w="759"/>
            <w:vAlign w:val="center"/>
          </w:tcPr>
          <w:p>
            <w:pPr>
              <w:spacing w:after="0"/>
            </w:pPr>
            <w:r/>
            <w:r>
              <w:rPr>
                <w:rFonts w:ascii="Arial" w:hAnsi="Arial"/>
                <w:b w:val="0"/>
                <w:sz w:val="14"/>
              </w:rPr>
              <w:t>50.9</w:t>
            </w:r>
          </w:p>
        </w:tc>
        <w:tc>
          <w:tcPr>
            <w:tcW w:type="dxa" w:w="759"/>
            <w:vAlign w:val="center"/>
          </w:tcPr>
          <w:p>
            <w:pPr>
              <w:spacing w:after="0"/>
            </w:pPr>
            <w:r/>
            <w:r>
              <w:rPr>
                <w:rFonts w:ascii="Arial" w:hAnsi="Arial"/>
                <w:b w:val="0"/>
                <w:sz w:val="14"/>
              </w:rPr>
              <w:t>37.53</w:t>
            </w:r>
          </w:p>
        </w:tc>
        <w:tc>
          <w:tcPr>
            <w:tcW w:type="dxa" w:w="759"/>
            <w:vAlign w:val="center"/>
          </w:tcPr>
          <w:p>
            <w:pPr>
              <w:spacing w:after="0"/>
            </w:pPr>
            <w:r/>
            <w:r>
              <w:rPr>
                <w:rFonts w:ascii="Arial" w:hAnsi="Arial"/>
                <w:b w:val="0"/>
                <w:sz w:val="14"/>
              </w:rPr>
              <w:t>0.16756</w:t>
            </w:r>
          </w:p>
        </w:tc>
        <w:tc>
          <w:tcPr>
            <w:tcW w:type="dxa" w:w="759"/>
            <w:vAlign w:val="center"/>
          </w:tcPr>
          <w:p>
            <w:pPr>
              <w:spacing w:after="0"/>
            </w:pPr>
            <w:r/>
            <w:r>
              <w:rPr>
                <w:rFonts w:ascii="Arial" w:hAnsi="Arial"/>
                <w:b w:val="0"/>
                <w:sz w:val="14"/>
              </w:rPr>
              <w:t>0.027486</w:t>
            </w:r>
          </w:p>
        </w:tc>
      </w:tr>
    </w:tbl>
    <w:p>
      <w:pPr>
        <w:spacing w:after="40"/>
      </w:pPr>
    </w:p>
    <w:p>
      <w:pPr>
        <w:spacing w:after="180"/>
      </w:pPr>
      <w:r>
        <w:rPr>
          <w:b/>
        </w:rPr>
        <w:t>Table notes:</w:t>
      </w:r>
      <w:r>
        <w:t xml:space="preserve"> </w:t>
      </w:r>
      <w:r>
        <w:rPr>
          <w:rFonts w:ascii="Courier New" w:hAnsi="Courier New"/>
          <w:sz w:val="18"/>
        </w:rPr>
        <w:t>t</w:t>
      </w:r>
      <w:r>
        <w:t xml:space="preserve"> is the first post date, so </w:t>
      </w:r>
      <w:r>
        <w:rPr>
          <w:rFonts w:ascii="Courier New" w:hAnsi="Courier New"/>
          <w:sz w:val="18"/>
        </w:rPr>
        <w:t>t-7</w:t>
      </w:r>
      <w:r>
        <w:t xml:space="preserve"> means seven days before it and </w:t>
      </w:r>
      <w:r>
        <w:rPr>
          <w:rFonts w:ascii="Courier New" w:hAnsi="Courier New"/>
          <w:sz w:val="18"/>
        </w:rPr>
        <w:t>t+30</w:t>
      </w:r>
      <w:r>
        <w:t xml:space="preserve"> means 30 days after it. The “anchor” is the starting EPSS value on day 0, or the next available value on day 1 or day 3. “CVEs” is the number for which both scores needed for that comparison exist. Positive changes mean EPSS rose; negative changes mean it fell. Increased, decreased, and no change are simple counts. The two p-values test whether the pattern is likely to be more than random variation, but even a small p-value does not prove that the post caused the change.</w:t>
      </w:r>
    </w:p>
    <w:p>
      <w:r>
        <w:t>Many CVEs moved upward after the event, but many were unchanged and the average was influenced by a smaller group with larger movements. The limited pre-event sample also prevents a broad claim about reverse causality across the entire corpus.</w:t>
      </w:r>
    </w:p>
    <w:p>
      <w:pPr>
        <w:pStyle w:val="Heading1"/>
      </w:pPr>
      <w:r>
        <w:t>15. Forward Comparison with Similar CVEs</w:t>
      </w:r>
    </w:p>
    <w:p>
      <w:r>
        <w:t xml:space="preserve">“Forward” means that we start at the posted CVE's first captured post and look 7 or 30 days ahead. We then compare its EPSS movement with selected similar CVEs. Statistical studies call this selection process matching, but this report uses the simpler term </w:t>
      </w:r>
      <w:r>
        <w:rPr>
          <w:b/>
        </w:rPr>
        <w:t>comparison CVE</w:t>
      </w:r>
      <w:r>
        <w:t>.</w:t>
      </w:r>
    </w:p>
    <w:p>
      <w:pPr>
        <w:pStyle w:val="Heading2"/>
      </w:pPr>
      <w:r>
        <w:t>How the Comparison CVEs Were Selected</w:t>
      </w:r>
    </w:p>
    <w:p>
      <w:r>
        <w:t xml:space="preserve">Both the posted CVE and every comparison CVE come from the original social-media dataset. For a posted CVE with event date </w:t>
      </w:r>
      <w:r>
        <w:rPr>
          <w:rFonts w:ascii="Courier New" w:hAnsi="Courier New"/>
          <w:sz w:val="18"/>
        </w:rPr>
        <w:t>t</w:t>
      </w:r>
      <w:r>
        <w:t xml:space="preserve">, we look for other CVEs whose earliest captured posts occur after </w:t>
      </w:r>
      <w:r>
        <w:rPr>
          <w:rFonts w:ascii="Courier New" w:hAnsi="Courier New"/>
          <w:sz w:val="18"/>
        </w:rPr>
        <w:t>t+30</w:t>
      </w:r>
      <w:r>
        <w:t xml:space="preserve">. Those other CVEs form the comparison group during the posted CVE's study window. Their later post dates are used only to confirm that they had no captured post in this dataset from </w:t>
      </w:r>
      <w:r>
        <w:rPr>
          <w:rFonts w:ascii="Courier New" w:hAnsi="Courier New"/>
          <w:sz w:val="18"/>
        </w:rPr>
        <w:t>t</w:t>
      </w:r>
      <w:r>
        <w:t xml:space="preserve"> through </w:t>
      </w:r>
      <w:r>
        <w:rPr>
          <w:rFonts w:ascii="Courier New" w:hAnsi="Courier New"/>
          <w:sz w:val="18"/>
        </w:rPr>
        <w:t>t+30</w:t>
      </w:r>
      <w:r>
        <w:t>.</w:t>
      </w:r>
    </w:p>
    <w:p>
      <w:r>
        <w:t>The selection was performed separately for every posted CVE:</w:t>
      </w:r>
    </w:p>
    <w:p>
      <w:pPr>
        <w:spacing w:after="60"/>
        <w:ind w:left="369" w:hanging="227"/>
      </w:pPr>
      <w:r>
        <w:t xml:space="preserve">1. </w:t>
      </w:r>
      <w:r>
        <w:t>Start with the posted CVE and its first captured post date, called the event date.</w:t>
      </w:r>
    </w:p>
    <w:p>
      <w:pPr>
        <w:spacing w:after="60"/>
        <w:ind w:left="369" w:hanging="227"/>
      </w:pPr>
      <w:r>
        <w:t xml:space="preserve">2. </w:t>
      </w:r>
      <w:r>
        <w:t>Exclude the same CVE and any candidate whose own first captured post was not more than 30 days later. This keeps the candidate without a captured post in this dataset throughout the outcome window.</w:t>
      </w:r>
    </w:p>
    <w:p>
      <w:pPr>
        <w:spacing w:after="60"/>
        <w:ind w:left="369" w:hanging="227"/>
      </w:pPr>
      <w:r>
        <w:t xml:space="preserve">3. </w:t>
      </w:r>
      <w:r>
        <w:t>Keep candidates from the same CVE year. Prefer the same CVSS severity level; if fewer than 12 are available, allow other severity levels from the same year.</w:t>
      </w:r>
    </w:p>
    <w:p>
      <w:pPr>
        <w:spacing w:after="60"/>
        <w:ind w:left="369" w:hanging="227"/>
      </w:pPr>
      <w:r>
        <w:t xml:space="preserve">4. </w:t>
      </w:r>
      <w:r>
        <w:t xml:space="preserve">Rank candidates using the absolute CVSS-score difference, plus a penalty of </w:t>
      </w:r>
      <w:r>
        <w:rPr>
          <w:rFonts w:ascii="Courier New" w:hAnsi="Courier New"/>
          <w:sz w:val="18"/>
        </w:rPr>
        <w:t>0.25</w:t>
      </w:r>
      <w:r>
        <w:t xml:space="preserve"> for a different severity level and </w:t>
      </w:r>
      <w:r>
        <w:rPr>
          <w:rFonts w:ascii="Courier New" w:hAnsi="Courier New"/>
          <w:sz w:val="18"/>
        </w:rPr>
        <w:t>0.05</w:t>
      </w:r>
      <w:r>
        <w:t xml:space="preserve"> for a different source. The source penalty is deliberately small and acts mainly as a tie-breaker. Retain the closest 12 candidates at this stage.</w:t>
      </w:r>
    </w:p>
    <w:p>
      <w:pPr>
        <w:spacing w:after="60"/>
        <w:ind w:left="369" w:hanging="227"/>
      </w:pPr>
      <w:r>
        <w:t xml:space="preserve">5. </w:t>
      </w:r>
      <w:r>
        <w:t xml:space="preserve">Compare historical EPSS percentiles at the posted CVE's event date. If day 0 is unavailable, use day 1 and then day 3. Remove candidates more than </w:t>
      </w:r>
      <w:r>
        <w:rPr>
          <w:rFonts w:ascii="Courier New" w:hAnsi="Courier New"/>
          <w:sz w:val="18"/>
        </w:rPr>
        <w:t>0.10</w:t>
      </w:r>
      <w:r>
        <w:t>, or 10 percentile points, from the posted CVE's starting percentile.</w:t>
      </w:r>
    </w:p>
    <w:p>
      <w:pPr>
        <w:spacing w:after="60"/>
        <w:ind w:left="369" w:hanging="227"/>
      </w:pPr>
      <w:r>
        <w:t xml:space="preserve">6. </w:t>
      </w:r>
      <w:r>
        <w:t>Rank the remaining candidates first by starting-percentile distance and then by the earlier technical/source distance. Select up to three comparison CVEs.</w:t>
      </w:r>
    </w:p>
    <w:p>
      <w:r>
        <w:t>The same comparison CVE can be reused for different posted CVEs. “No captured post during this window” refers only to this dataset and does not prove that the CVE was absent from every social platform.</w:t>
      </w:r>
    </w:p>
    <w:tbl>
      <w:tblPr>
        <w:tblStyle w:val="TableGrid"/>
        <w:tblW w:type="auto" w:w="0"/>
        <w:tblLayout w:type="autofit"/>
        <w:tblLook w:firstColumn="1" w:firstRow="1" w:lastColumn="0" w:lastRow="0" w:noHBand="0" w:noVBand="1" w:val="04A0"/>
      </w:tblPr>
      <w:tblGrid>
        <w:gridCol w:w="4933"/>
        <w:gridCol w:w="4933"/>
      </w:tblGrid>
      <w:tr>
        <w:trPr>
          <w:tblHeader w:val="true"/>
          <w:cantSplit w:val="true"/>
        </w:trPr>
        <w:tc>
          <w:tcPr>
            <w:tcW w:type="dxa" w:w="4933"/>
            <w:vAlign w:val="center"/>
            <w:shd w:fill="D9E6F5"/>
          </w:tcPr>
          <w:p>
            <w:pPr>
              <w:spacing w:after="0"/>
            </w:pPr>
            <w:r/>
            <w:r>
              <w:rPr>
                <w:rFonts w:ascii="Arial" w:hAnsi="Arial"/>
                <w:b/>
                <w:sz w:val="17"/>
              </w:rPr>
              <w:t>Coverage measure</w:t>
            </w:r>
          </w:p>
        </w:tc>
        <w:tc>
          <w:tcPr>
            <w:tcW w:type="dxa" w:w="4933"/>
            <w:vAlign w:val="center"/>
            <w:shd w:fill="D9E6F5"/>
          </w:tcPr>
          <w:p>
            <w:pPr>
              <w:spacing w:after="0"/>
            </w:pPr>
            <w:r/>
            <w:r>
              <w:rPr>
                <w:rFonts w:ascii="Arial" w:hAnsi="Arial"/>
                <w:b/>
                <w:sz w:val="17"/>
              </w:rPr>
              <w:t>Value</w:t>
            </w:r>
          </w:p>
        </w:tc>
      </w:tr>
      <w:tr>
        <w:trPr>
          <w:cantSplit w:val="true"/>
        </w:trPr>
        <w:tc>
          <w:tcPr>
            <w:tcW w:type="dxa" w:w="4933"/>
            <w:vAlign w:val="center"/>
          </w:tcPr>
          <w:p>
            <w:pPr>
              <w:spacing w:after="0"/>
            </w:pPr>
            <w:r/>
            <w:r>
              <w:rPr>
                <w:rFonts w:ascii="Arial" w:hAnsi="Arial"/>
                <w:b w:val="0"/>
                <w:sz w:val="17"/>
              </w:rPr>
              <w:t>CVEs with a baseline EPSS anchor</w:t>
            </w:r>
          </w:p>
        </w:tc>
        <w:tc>
          <w:tcPr>
            <w:tcW w:type="dxa" w:w="4933"/>
            <w:vAlign w:val="center"/>
          </w:tcPr>
          <w:p>
            <w:pPr>
              <w:spacing w:after="0"/>
            </w:pPr>
            <w:r/>
            <w:r>
              <w:rPr>
                <w:rFonts w:ascii="Arial" w:hAnsi="Arial"/>
                <w:b w:val="0"/>
                <w:sz w:val="17"/>
              </w:rPr>
              <w:t>4,116</w:t>
            </w:r>
          </w:p>
        </w:tc>
      </w:tr>
      <w:tr>
        <w:trPr>
          <w:cantSplit w:val="true"/>
        </w:trPr>
        <w:tc>
          <w:tcPr>
            <w:tcW w:type="dxa" w:w="4933"/>
            <w:vAlign w:val="center"/>
          </w:tcPr>
          <w:p>
            <w:pPr>
              <w:spacing w:after="0"/>
            </w:pPr>
            <w:r/>
            <w:r>
              <w:rPr>
                <w:rFonts w:ascii="Arial" w:hAnsi="Arial"/>
                <w:b w:val="0"/>
                <w:sz w:val="17"/>
              </w:rPr>
              <w:t>Posted-CVE/comparison-CVE pair rows</w:t>
            </w:r>
          </w:p>
        </w:tc>
        <w:tc>
          <w:tcPr>
            <w:tcW w:type="dxa" w:w="4933"/>
            <w:vAlign w:val="center"/>
          </w:tcPr>
          <w:p>
            <w:pPr>
              <w:spacing w:after="0"/>
            </w:pPr>
            <w:r/>
            <w:r>
              <w:rPr>
                <w:rFonts w:ascii="Arial" w:hAnsi="Arial"/>
                <w:b w:val="0"/>
                <w:sz w:val="17"/>
              </w:rPr>
              <w:t>1,668</w:t>
            </w:r>
          </w:p>
        </w:tc>
      </w:tr>
      <w:tr>
        <w:trPr>
          <w:cantSplit w:val="true"/>
        </w:trPr>
        <w:tc>
          <w:tcPr>
            <w:tcW w:type="dxa" w:w="4933"/>
            <w:vAlign w:val="center"/>
          </w:tcPr>
          <w:p>
            <w:pPr>
              <w:spacing w:after="0"/>
            </w:pPr>
            <w:r/>
            <w:r>
              <w:rPr>
                <w:rFonts w:ascii="Arial" w:hAnsi="Arial"/>
                <w:b w:val="0"/>
                <w:sz w:val="17"/>
              </w:rPr>
              <w:t>Posted CVEs with at least one comparison CVE</w:t>
            </w:r>
          </w:p>
        </w:tc>
        <w:tc>
          <w:tcPr>
            <w:tcW w:type="dxa" w:w="4933"/>
            <w:vAlign w:val="center"/>
          </w:tcPr>
          <w:p>
            <w:pPr>
              <w:spacing w:after="0"/>
            </w:pPr>
            <w:r/>
            <w:r>
              <w:rPr>
                <w:rFonts w:ascii="Arial" w:hAnsi="Arial"/>
                <w:b w:val="0"/>
                <w:sz w:val="17"/>
              </w:rPr>
              <w:t>884</w:t>
            </w:r>
          </w:p>
        </w:tc>
      </w:tr>
    </w:tbl>
    <w:p>
      <w:pPr>
        <w:spacing w:after="40"/>
      </w:pPr>
    </w:p>
    <w:p>
      <w:r>
        <w:t>One posted CVE can have more than one comparison CVE, so pair rows are more numerous than posted CVEs. This design makes the groups more similar on measured features, but it does not make different vulnerabilities identical. The result is an adjusted comparison, not a causal experiment.</w:t>
      </w:r>
    </w:p>
    <w:p>
      <w:pPr>
        <w:pStyle w:val="Heading2"/>
      </w:pPr>
      <w:r>
        <w:t>Real Comparison CVE Examples from the Dataset</w:t>
      </w:r>
    </w:p>
    <w:p>
      <w:r>
        <w:t>The following examples were read directly from the original GPT dataset, the saved event and pair tables, and the cached FIRST daily EPSS files. Example A shows a positive difference from similar CVEs, while Example B shows a negative difference. Including both avoids giving the impression that posted CVEs always rise more.</w:t>
      </w:r>
    </w:p>
    <w:tbl>
      <w:tblPr>
        <w:tblStyle w:val="TableGrid"/>
        <w:tblW w:type="auto" w:w="0"/>
        <w:tblLayout w:type="autofit"/>
        <w:tblLook w:firstColumn="1" w:firstRow="1" w:lastColumn="0" w:lastRow="0" w:noHBand="0" w:noVBand="1" w:val="04A0"/>
      </w:tblPr>
      <w:tblGrid>
        <w:gridCol w:w="1233"/>
        <w:gridCol w:w="1233"/>
        <w:gridCol w:w="1233"/>
        <w:gridCol w:w="1233"/>
        <w:gridCol w:w="1233"/>
        <w:gridCol w:w="1233"/>
        <w:gridCol w:w="1233"/>
        <w:gridCol w:w="1233"/>
      </w:tblGrid>
      <w:tr>
        <w:trPr>
          <w:tblHeader w:val="true"/>
          <w:cantSplit w:val="true"/>
        </w:trPr>
        <w:tc>
          <w:tcPr>
            <w:tcW w:type="dxa" w:w="1233"/>
            <w:vAlign w:val="center"/>
            <w:shd w:fill="D9E6F5"/>
          </w:tcPr>
          <w:p>
            <w:pPr>
              <w:spacing w:after="0"/>
            </w:pPr>
            <w:r/>
            <w:r>
              <w:rPr>
                <w:rFonts w:ascii="Arial" w:hAnsi="Arial"/>
                <w:b/>
                <w:sz w:val="14"/>
              </w:rPr>
              <w:t>Example</w:t>
            </w:r>
          </w:p>
        </w:tc>
        <w:tc>
          <w:tcPr>
            <w:tcW w:type="dxa" w:w="1233"/>
            <w:vAlign w:val="center"/>
            <w:shd w:fill="D9E6F5"/>
          </w:tcPr>
          <w:p>
            <w:pPr>
              <w:spacing w:after="0"/>
            </w:pPr>
            <w:r/>
            <w:r>
              <w:rPr>
                <w:rFonts w:ascii="Arial" w:hAnsi="Arial"/>
                <w:b/>
                <w:sz w:val="14"/>
              </w:rPr>
              <w:t>Role</w:t>
            </w:r>
          </w:p>
        </w:tc>
        <w:tc>
          <w:tcPr>
            <w:tcW w:type="dxa" w:w="1233"/>
            <w:vAlign w:val="center"/>
            <w:shd w:fill="D9E6F5"/>
          </w:tcPr>
          <w:p>
            <w:pPr>
              <w:spacing w:after="0"/>
            </w:pPr>
            <w:r/>
            <w:r>
              <w:rPr>
                <w:rFonts w:ascii="Arial" w:hAnsi="Arial"/>
                <w:b/>
                <w:sz w:val="14"/>
              </w:rPr>
              <w:t>CVE</w:t>
            </w:r>
          </w:p>
        </w:tc>
        <w:tc>
          <w:tcPr>
            <w:tcW w:type="dxa" w:w="1233"/>
            <w:vAlign w:val="center"/>
            <w:shd w:fill="D9E6F5"/>
          </w:tcPr>
          <w:p>
            <w:pPr>
              <w:spacing w:after="0"/>
            </w:pPr>
            <w:r/>
            <w:r>
              <w:rPr>
                <w:rFonts w:ascii="Arial" w:hAnsi="Arial"/>
                <w:b/>
                <w:sz w:val="14"/>
              </w:rPr>
              <w:t>First captured post</w:t>
            </w:r>
          </w:p>
        </w:tc>
        <w:tc>
          <w:tcPr>
            <w:tcW w:type="dxa" w:w="1233"/>
            <w:vAlign w:val="center"/>
            <w:shd w:fill="D9E6F5"/>
          </w:tcPr>
          <w:p>
            <w:pPr>
              <w:spacing w:after="0"/>
            </w:pPr>
            <w:r/>
            <w:r>
              <w:rPr>
                <w:rFonts w:ascii="Arial" w:hAnsi="Arial"/>
                <w:b/>
                <w:sz w:val="14"/>
              </w:rPr>
              <w:t>Days after event</w:t>
            </w:r>
          </w:p>
        </w:tc>
        <w:tc>
          <w:tcPr>
            <w:tcW w:type="dxa" w:w="1233"/>
            <w:vAlign w:val="center"/>
            <w:shd w:fill="D9E6F5"/>
          </w:tcPr>
          <w:p>
            <w:pPr>
              <w:spacing w:after="0"/>
            </w:pPr>
            <w:r/>
            <w:r>
              <w:rPr>
                <w:rFonts w:ascii="Arial" w:hAnsi="Arial"/>
                <w:b/>
                <w:sz w:val="14"/>
              </w:rPr>
              <w:t>Source</w:t>
            </w:r>
          </w:p>
        </w:tc>
        <w:tc>
          <w:tcPr>
            <w:tcW w:type="dxa" w:w="1233"/>
            <w:vAlign w:val="center"/>
            <w:shd w:fill="D9E6F5"/>
          </w:tcPr>
          <w:p>
            <w:pPr>
              <w:spacing w:after="0"/>
            </w:pPr>
            <w:r/>
            <w:r>
              <w:rPr>
                <w:rFonts w:ascii="Arial" w:hAnsi="Arial"/>
                <w:b/>
                <w:sz w:val="14"/>
              </w:rPr>
              <w:t>Year / severity / CVSS</w:t>
            </w:r>
          </w:p>
        </w:tc>
        <w:tc>
          <w:tcPr>
            <w:tcW w:type="dxa" w:w="1233"/>
            <w:vAlign w:val="center"/>
            <w:shd w:fill="D9E6F5"/>
          </w:tcPr>
          <w:p>
            <w:pPr>
              <w:spacing w:after="0"/>
            </w:pPr>
            <w:r/>
            <w:r>
              <w:rPr>
                <w:rFonts w:ascii="Arial" w:hAnsi="Arial"/>
                <w:b/>
                <w:sz w:val="14"/>
              </w:rPr>
              <w:t>Starting EPSS percentile</w:t>
            </w:r>
          </w:p>
        </w:tc>
      </w:tr>
      <w:tr>
        <w:trPr>
          <w:cantSplit w:val="true"/>
        </w:trPr>
        <w:tc>
          <w:tcPr>
            <w:tcW w:type="dxa" w:w="1233"/>
            <w:vAlign w:val="center"/>
          </w:tcPr>
          <w:p>
            <w:pPr>
              <w:spacing w:after="0"/>
            </w:pPr>
            <w:r/>
            <w:r>
              <w:rPr>
                <w:rFonts w:ascii="Arial" w:hAnsi="Arial"/>
                <w:b w:val="0"/>
                <w:sz w:val="14"/>
              </w:rPr>
              <w:t>A</w:t>
            </w:r>
          </w:p>
        </w:tc>
        <w:tc>
          <w:tcPr>
            <w:tcW w:type="dxa" w:w="1233"/>
            <w:vAlign w:val="center"/>
          </w:tcPr>
          <w:p>
            <w:pPr>
              <w:spacing w:after="0"/>
            </w:pPr>
            <w:r/>
            <w:r>
              <w:rPr>
                <w:rFonts w:ascii="Arial" w:hAnsi="Arial"/>
                <w:b w:val="0"/>
                <w:sz w:val="14"/>
              </w:rPr>
              <w:t>Posted CVE</w:t>
            </w:r>
          </w:p>
        </w:tc>
        <w:tc>
          <w:tcPr>
            <w:tcW w:type="dxa" w:w="1233"/>
            <w:vAlign w:val="center"/>
          </w:tcPr>
          <w:p>
            <w:pPr>
              <w:spacing w:after="0"/>
            </w:pPr>
            <w:r/>
            <w:r>
              <w:rPr>
                <w:rFonts w:ascii="Arial" w:hAnsi="Arial"/>
                <w:b w:val="0"/>
                <w:sz w:val="14"/>
              </w:rPr>
              <w:t>CVE-2024-42733</w:t>
            </w:r>
          </w:p>
        </w:tc>
        <w:tc>
          <w:tcPr>
            <w:tcW w:type="dxa" w:w="1233"/>
            <w:vAlign w:val="center"/>
          </w:tcPr>
          <w:p>
            <w:pPr>
              <w:spacing w:after="0"/>
            </w:pPr>
            <w:r/>
            <w:r>
              <w:rPr>
                <w:rFonts w:ascii="Arial" w:hAnsi="Arial"/>
                <w:b w:val="0"/>
                <w:sz w:val="14"/>
              </w:rPr>
              <w:t>2025-03-10</w:t>
            </w:r>
          </w:p>
        </w:tc>
        <w:tc>
          <w:tcPr>
            <w:tcW w:type="dxa" w:w="1233"/>
            <w:vAlign w:val="center"/>
          </w:tcPr>
          <w:p>
            <w:pPr>
              <w:spacing w:after="0"/>
            </w:pPr>
            <w:r/>
            <w:r>
              <w:rPr>
                <w:rFonts w:ascii="Arial" w:hAnsi="Arial"/>
                <w:b w:val="0"/>
                <w:sz w:val="14"/>
              </w:rPr>
              <w:t>0</w:t>
            </w:r>
          </w:p>
        </w:tc>
        <w:tc>
          <w:tcPr>
            <w:tcW w:type="dxa" w:w="1233"/>
            <w:vAlign w:val="center"/>
          </w:tcPr>
          <w:p>
            <w:pPr>
              <w:spacing w:after="0"/>
            </w:pPr>
            <w:r/>
            <w:r>
              <w:rPr>
                <w:rFonts w:ascii="Arial" w:hAnsi="Arial"/>
                <w:b w:val="0"/>
                <w:sz w:val="14"/>
              </w:rPr>
              <w:t>Mastodon</w:t>
            </w:r>
          </w:p>
        </w:tc>
        <w:tc>
          <w:tcPr>
            <w:tcW w:type="dxa" w:w="1233"/>
            <w:vAlign w:val="center"/>
          </w:tcPr>
          <w:p>
            <w:pPr>
              <w:spacing w:after="0"/>
            </w:pPr>
            <w:r/>
            <w:r>
              <w:rPr>
                <w:rFonts w:ascii="Arial" w:hAnsi="Arial"/>
                <w:b w:val="0"/>
                <w:sz w:val="14"/>
              </w:rPr>
              <w:t>2024 / Critical / 9.8</w:t>
            </w:r>
          </w:p>
        </w:tc>
        <w:tc>
          <w:tcPr>
            <w:tcW w:type="dxa" w:w="1233"/>
            <w:vAlign w:val="center"/>
          </w:tcPr>
          <w:p>
            <w:pPr>
              <w:spacing w:after="0"/>
            </w:pPr>
            <w:r/>
            <w:r>
              <w:rPr>
                <w:rFonts w:ascii="Arial" w:hAnsi="Arial"/>
                <w:b w:val="0"/>
                <w:sz w:val="14"/>
              </w:rPr>
              <w:t>0.1187</w:t>
            </w:r>
          </w:p>
        </w:tc>
      </w:tr>
      <w:tr>
        <w:trPr>
          <w:cantSplit w:val="true"/>
        </w:trPr>
        <w:tc>
          <w:tcPr>
            <w:tcW w:type="dxa" w:w="1233"/>
            <w:vAlign w:val="center"/>
          </w:tcPr>
          <w:p>
            <w:pPr>
              <w:spacing w:after="0"/>
            </w:pPr>
            <w:r/>
            <w:r>
              <w:rPr>
                <w:rFonts w:ascii="Arial" w:hAnsi="Arial"/>
                <w:b w:val="0"/>
                <w:sz w:val="14"/>
              </w:rPr>
              <w:t>A</w:t>
            </w:r>
          </w:p>
        </w:tc>
        <w:tc>
          <w:tcPr>
            <w:tcW w:type="dxa" w:w="1233"/>
            <w:vAlign w:val="center"/>
          </w:tcPr>
          <w:p>
            <w:pPr>
              <w:spacing w:after="0"/>
            </w:pPr>
            <w:r/>
            <w:r>
              <w:rPr>
                <w:rFonts w:ascii="Arial" w:hAnsi="Arial"/>
                <w:b w:val="0"/>
                <w:sz w:val="14"/>
              </w:rPr>
              <w:t>Comparison 1</w:t>
            </w:r>
          </w:p>
        </w:tc>
        <w:tc>
          <w:tcPr>
            <w:tcW w:type="dxa" w:w="1233"/>
            <w:vAlign w:val="center"/>
          </w:tcPr>
          <w:p>
            <w:pPr>
              <w:spacing w:after="0"/>
            </w:pPr>
            <w:r/>
            <w:r>
              <w:rPr>
                <w:rFonts w:ascii="Arial" w:hAnsi="Arial"/>
                <w:b w:val="0"/>
                <w:sz w:val="14"/>
              </w:rPr>
              <w:t>CVE-2024-48573</w:t>
            </w:r>
          </w:p>
        </w:tc>
        <w:tc>
          <w:tcPr>
            <w:tcW w:type="dxa" w:w="1233"/>
            <w:vAlign w:val="center"/>
          </w:tcPr>
          <w:p>
            <w:pPr>
              <w:spacing w:after="0"/>
            </w:pPr>
            <w:r/>
            <w:r>
              <w:rPr>
                <w:rFonts w:ascii="Arial" w:hAnsi="Arial"/>
                <w:b w:val="0"/>
                <w:sz w:val="14"/>
              </w:rPr>
              <w:t>2025-04-10</w:t>
            </w:r>
          </w:p>
        </w:tc>
        <w:tc>
          <w:tcPr>
            <w:tcW w:type="dxa" w:w="1233"/>
            <w:vAlign w:val="center"/>
          </w:tcPr>
          <w:p>
            <w:pPr>
              <w:spacing w:after="0"/>
            </w:pPr>
            <w:r/>
            <w:r>
              <w:rPr>
                <w:rFonts w:ascii="Arial" w:hAnsi="Arial"/>
                <w:b w:val="0"/>
                <w:sz w:val="14"/>
              </w:rPr>
              <w:t>31</w:t>
            </w:r>
          </w:p>
        </w:tc>
        <w:tc>
          <w:tcPr>
            <w:tcW w:type="dxa" w:w="1233"/>
            <w:vAlign w:val="center"/>
          </w:tcPr>
          <w:p>
            <w:pPr>
              <w:spacing w:after="0"/>
            </w:pPr>
            <w:r/>
            <w:r>
              <w:rPr>
                <w:rFonts w:ascii="Arial" w:hAnsi="Arial"/>
                <w:b w:val="0"/>
                <w:sz w:val="14"/>
              </w:rPr>
              <w:t>ExploitDB</w:t>
            </w:r>
          </w:p>
        </w:tc>
        <w:tc>
          <w:tcPr>
            <w:tcW w:type="dxa" w:w="1233"/>
            <w:vAlign w:val="center"/>
          </w:tcPr>
          <w:p>
            <w:pPr>
              <w:spacing w:after="0"/>
            </w:pPr>
            <w:r/>
            <w:r>
              <w:rPr>
                <w:rFonts w:ascii="Arial" w:hAnsi="Arial"/>
                <w:b w:val="0"/>
                <w:sz w:val="14"/>
              </w:rPr>
              <w:t>2024 / Critical / 9.8</w:t>
            </w:r>
          </w:p>
        </w:tc>
        <w:tc>
          <w:tcPr>
            <w:tcW w:type="dxa" w:w="1233"/>
            <w:vAlign w:val="center"/>
          </w:tcPr>
          <w:p>
            <w:pPr>
              <w:spacing w:after="0"/>
            </w:pPr>
            <w:r/>
            <w:r>
              <w:rPr>
                <w:rFonts w:ascii="Arial" w:hAnsi="Arial"/>
                <w:b w:val="0"/>
                <w:sz w:val="14"/>
              </w:rPr>
              <w:t>0.1187</w:t>
            </w:r>
          </w:p>
        </w:tc>
      </w:tr>
      <w:tr>
        <w:trPr>
          <w:cantSplit w:val="true"/>
        </w:trPr>
        <w:tc>
          <w:tcPr>
            <w:tcW w:type="dxa" w:w="1233"/>
            <w:vAlign w:val="center"/>
          </w:tcPr>
          <w:p>
            <w:pPr>
              <w:spacing w:after="0"/>
            </w:pPr>
            <w:r/>
            <w:r>
              <w:rPr>
                <w:rFonts w:ascii="Arial" w:hAnsi="Arial"/>
                <w:b w:val="0"/>
                <w:sz w:val="14"/>
              </w:rPr>
              <w:t>A</w:t>
            </w:r>
          </w:p>
        </w:tc>
        <w:tc>
          <w:tcPr>
            <w:tcW w:type="dxa" w:w="1233"/>
            <w:vAlign w:val="center"/>
          </w:tcPr>
          <w:p>
            <w:pPr>
              <w:spacing w:after="0"/>
            </w:pPr>
            <w:r/>
            <w:r>
              <w:rPr>
                <w:rFonts w:ascii="Arial" w:hAnsi="Arial"/>
                <w:b w:val="0"/>
                <w:sz w:val="14"/>
              </w:rPr>
              <w:t>Comparison 2</w:t>
            </w:r>
          </w:p>
        </w:tc>
        <w:tc>
          <w:tcPr>
            <w:tcW w:type="dxa" w:w="1233"/>
            <w:vAlign w:val="center"/>
          </w:tcPr>
          <w:p>
            <w:pPr>
              <w:spacing w:after="0"/>
            </w:pPr>
            <w:r/>
            <w:r>
              <w:rPr>
                <w:rFonts w:ascii="Arial" w:hAnsi="Arial"/>
                <w:b w:val="0"/>
                <w:sz w:val="14"/>
              </w:rPr>
              <w:t>CVE-2024-35056</w:t>
            </w:r>
          </w:p>
        </w:tc>
        <w:tc>
          <w:tcPr>
            <w:tcW w:type="dxa" w:w="1233"/>
            <w:vAlign w:val="center"/>
          </w:tcPr>
          <w:p>
            <w:pPr>
              <w:spacing w:after="0"/>
            </w:pPr>
            <w:r/>
            <w:r>
              <w:rPr>
                <w:rFonts w:ascii="Arial" w:hAnsi="Arial"/>
                <w:b w:val="0"/>
                <w:sz w:val="14"/>
              </w:rPr>
              <w:t>2025-04-11</w:t>
            </w:r>
          </w:p>
        </w:tc>
        <w:tc>
          <w:tcPr>
            <w:tcW w:type="dxa" w:w="1233"/>
            <w:vAlign w:val="center"/>
          </w:tcPr>
          <w:p>
            <w:pPr>
              <w:spacing w:after="0"/>
            </w:pPr>
            <w:r/>
            <w:r>
              <w:rPr>
                <w:rFonts w:ascii="Arial" w:hAnsi="Arial"/>
                <w:b w:val="0"/>
                <w:sz w:val="14"/>
              </w:rPr>
              <w:t>32</w:t>
            </w:r>
          </w:p>
        </w:tc>
        <w:tc>
          <w:tcPr>
            <w:tcW w:type="dxa" w:w="1233"/>
            <w:vAlign w:val="center"/>
          </w:tcPr>
          <w:p>
            <w:pPr>
              <w:spacing w:after="0"/>
            </w:pPr>
            <w:r/>
            <w:r>
              <w:rPr>
                <w:rFonts w:ascii="Arial" w:hAnsi="Arial"/>
                <w:b w:val="0"/>
                <w:sz w:val="14"/>
              </w:rPr>
              <w:t>HackerNews</w:t>
            </w:r>
          </w:p>
        </w:tc>
        <w:tc>
          <w:tcPr>
            <w:tcW w:type="dxa" w:w="1233"/>
            <w:vAlign w:val="center"/>
          </w:tcPr>
          <w:p>
            <w:pPr>
              <w:spacing w:after="0"/>
            </w:pPr>
            <w:r/>
            <w:r>
              <w:rPr>
                <w:rFonts w:ascii="Arial" w:hAnsi="Arial"/>
                <w:b w:val="0"/>
                <w:sz w:val="14"/>
              </w:rPr>
              <w:t>2024 / Critical / 9.8</w:t>
            </w:r>
          </w:p>
        </w:tc>
        <w:tc>
          <w:tcPr>
            <w:tcW w:type="dxa" w:w="1233"/>
            <w:vAlign w:val="center"/>
          </w:tcPr>
          <w:p>
            <w:pPr>
              <w:spacing w:after="0"/>
            </w:pPr>
            <w:r/>
            <w:r>
              <w:rPr>
                <w:rFonts w:ascii="Arial" w:hAnsi="Arial"/>
                <w:b w:val="0"/>
                <w:sz w:val="14"/>
              </w:rPr>
              <w:t>0.1187</w:t>
            </w:r>
          </w:p>
        </w:tc>
      </w:tr>
      <w:tr>
        <w:trPr>
          <w:cantSplit w:val="true"/>
        </w:trPr>
        <w:tc>
          <w:tcPr>
            <w:tcW w:type="dxa" w:w="1233"/>
            <w:vAlign w:val="center"/>
          </w:tcPr>
          <w:p>
            <w:pPr>
              <w:spacing w:after="0"/>
            </w:pPr>
            <w:r/>
            <w:r>
              <w:rPr>
                <w:rFonts w:ascii="Arial" w:hAnsi="Arial"/>
                <w:b w:val="0"/>
                <w:sz w:val="14"/>
              </w:rPr>
              <w:t>A</w:t>
            </w:r>
          </w:p>
        </w:tc>
        <w:tc>
          <w:tcPr>
            <w:tcW w:type="dxa" w:w="1233"/>
            <w:vAlign w:val="center"/>
          </w:tcPr>
          <w:p>
            <w:pPr>
              <w:spacing w:after="0"/>
            </w:pPr>
            <w:r/>
            <w:r>
              <w:rPr>
                <w:rFonts w:ascii="Arial" w:hAnsi="Arial"/>
                <w:b w:val="0"/>
                <w:sz w:val="14"/>
              </w:rPr>
              <w:t>Comparison 3</w:t>
            </w:r>
          </w:p>
        </w:tc>
        <w:tc>
          <w:tcPr>
            <w:tcW w:type="dxa" w:w="1233"/>
            <w:vAlign w:val="center"/>
          </w:tcPr>
          <w:p>
            <w:pPr>
              <w:spacing w:after="0"/>
            </w:pPr>
            <w:r/>
            <w:r>
              <w:rPr>
                <w:rFonts w:ascii="Arial" w:hAnsi="Arial"/>
                <w:b w:val="0"/>
                <w:sz w:val="14"/>
              </w:rPr>
              <w:t>CVE-2024-50672</w:t>
            </w:r>
          </w:p>
        </w:tc>
        <w:tc>
          <w:tcPr>
            <w:tcW w:type="dxa" w:w="1233"/>
            <w:vAlign w:val="center"/>
          </w:tcPr>
          <w:p>
            <w:pPr>
              <w:spacing w:after="0"/>
            </w:pPr>
            <w:r/>
            <w:r>
              <w:rPr>
                <w:rFonts w:ascii="Arial" w:hAnsi="Arial"/>
                <w:b w:val="0"/>
                <w:sz w:val="14"/>
              </w:rPr>
              <w:t>2025-04-15</w:t>
            </w:r>
          </w:p>
        </w:tc>
        <w:tc>
          <w:tcPr>
            <w:tcW w:type="dxa" w:w="1233"/>
            <w:vAlign w:val="center"/>
          </w:tcPr>
          <w:p>
            <w:pPr>
              <w:spacing w:after="0"/>
            </w:pPr>
            <w:r/>
            <w:r>
              <w:rPr>
                <w:rFonts w:ascii="Arial" w:hAnsi="Arial"/>
                <w:b w:val="0"/>
                <w:sz w:val="14"/>
              </w:rPr>
              <w:t>36</w:t>
            </w:r>
          </w:p>
        </w:tc>
        <w:tc>
          <w:tcPr>
            <w:tcW w:type="dxa" w:w="1233"/>
            <w:vAlign w:val="center"/>
          </w:tcPr>
          <w:p>
            <w:pPr>
              <w:spacing w:after="0"/>
            </w:pPr>
            <w:r/>
            <w:r>
              <w:rPr>
                <w:rFonts w:ascii="Arial" w:hAnsi="Arial"/>
                <w:b w:val="0"/>
                <w:sz w:val="14"/>
              </w:rPr>
              <w:t>ExploitDB</w:t>
            </w:r>
          </w:p>
        </w:tc>
        <w:tc>
          <w:tcPr>
            <w:tcW w:type="dxa" w:w="1233"/>
            <w:vAlign w:val="center"/>
          </w:tcPr>
          <w:p>
            <w:pPr>
              <w:spacing w:after="0"/>
            </w:pPr>
            <w:r/>
            <w:r>
              <w:rPr>
                <w:rFonts w:ascii="Arial" w:hAnsi="Arial"/>
                <w:b w:val="0"/>
                <w:sz w:val="14"/>
              </w:rPr>
              <w:t>2024 / Critical / 9.8</w:t>
            </w:r>
          </w:p>
        </w:tc>
        <w:tc>
          <w:tcPr>
            <w:tcW w:type="dxa" w:w="1233"/>
            <w:vAlign w:val="center"/>
          </w:tcPr>
          <w:p>
            <w:pPr>
              <w:spacing w:after="0"/>
            </w:pPr>
            <w:r/>
            <w:r>
              <w:rPr>
                <w:rFonts w:ascii="Arial" w:hAnsi="Arial"/>
                <w:b w:val="0"/>
                <w:sz w:val="14"/>
              </w:rPr>
              <w:t>0.1187</w:t>
            </w:r>
          </w:p>
        </w:tc>
      </w:tr>
      <w:tr>
        <w:trPr>
          <w:cantSplit w:val="true"/>
        </w:trPr>
        <w:tc>
          <w:tcPr>
            <w:tcW w:type="dxa" w:w="1233"/>
            <w:vAlign w:val="center"/>
          </w:tcPr>
          <w:p>
            <w:pPr>
              <w:spacing w:after="0"/>
            </w:pPr>
            <w:r/>
            <w:r>
              <w:rPr>
                <w:rFonts w:ascii="Arial" w:hAnsi="Arial"/>
                <w:b w:val="0"/>
                <w:sz w:val="14"/>
              </w:rPr>
              <w:t>B</w:t>
            </w:r>
          </w:p>
        </w:tc>
        <w:tc>
          <w:tcPr>
            <w:tcW w:type="dxa" w:w="1233"/>
            <w:vAlign w:val="center"/>
          </w:tcPr>
          <w:p>
            <w:pPr>
              <w:spacing w:after="0"/>
            </w:pPr>
            <w:r/>
            <w:r>
              <w:rPr>
                <w:rFonts w:ascii="Arial" w:hAnsi="Arial"/>
                <w:b w:val="0"/>
                <w:sz w:val="14"/>
              </w:rPr>
              <w:t>Posted CVE</w:t>
            </w:r>
          </w:p>
        </w:tc>
        <w:tc>
          <w:tcPr>
            <w:tcW w:type="dxa" w:w="1233"/>
            <w:vAlign w:val="center"/>
          </w:tcPr>
          <w:p>
            <w:pPr>
              <w:spacing w:after="0"/>
            </w:pPr>
            <w:r/>
            <w:r>
              <w:rPr>
                <w:rFonts w:ascii="Arial" w:hAnsi="Arial"/>
                <w:b w:val="0"/>
                <w:sz w:val="14"/>
              </w:rPr>
              <w:t>CVE-2023-28461</w:t>
            </w:r>
          </w:p>
        </w:tc>
        <w:tc>
          <w:tcPr>
            <w:tcW w:type="dxa" w:w="1233"/>
            <w:vAlign w:val="center"/>
          </w:tcPr>
          <w:p>
            <w:pPr>
              <w:spacing w:after="0"/>
            </w:pPr>
            <w:r/>
            <w:r>
              <w:rPr>
                <w:rFonts w:ascii="Arial" w:hAnsi="Arial"/>
                <w:b w:val="0"/>
                <w:sz w:val="14"/>
              </w:rPr>
              <w:t>2025-01-09</w:t>
            </w:r>
          </w:p>
        </w:tc>
        <w:tc>
          <w:tcPr>
            <w:tcW w:type="dxa" w:w="1233"/>
            <w:vAlign w:val="center"/>
          </w:tcPr>
          <w:p>
            <w:pPr>
              <w:spacing w:after="0"/>
            </w:pPr>
            <w:r/>
            <w:r>
              <w:rPr>
                <w:rFonts w:ascii="Arial" w:hAnsi="Arial"/>
                <w:b w:val="0"/>
                <w:sz w:val="14"/>
              </w:rPr>
              <w:t>0</w:t>
            </w:r>
          </w:p>
        </w:tc>
        <w:tc>
          <w:tcPr>
            <w:tcW w:type="dxa" w:w="1233"/>
            <w:vAlign w:val="center"/>
          </w:tcPr>
          <w:p>
            <w:pPr>
              <w:spacing w:after="0"/>
            </w:pPr>
            <w:r/>
            <w:r>
              <w:rPr>
                <w:rFonts w:ascii="Arial" w:hAnsi="Arial"/>
                <w:b w:val="0"/>
                <w:sz w:val="14"/>
              </w:rPr>
              <w:t>BleepingComputer</w:t>
            </w:r>
          </w:p>
        </w:tc>
        <w:tc>
          <w:tcPr>
            <w:tcW w:type="dxa" w:w="1233"/>
            <w:vAlign w:val="center"/>
          </w:tcPr>
          <w:p>
            <w:pPr>
              <w:spacing w:after="0"/>
            </w:pPr>
            <w:r/>
            <w:r>
              <w:rPr>
                <w:rFonts w:ascii="Arial" w:hAnsi="Arial"/>
                <w:b w:val="0"/>
                <w:sz w:val="14"/>
              </w:rPr>
              <w:t>2023 / Critical / 9.8</w:t>
            </w:r>
          </w:p>
        </w:tc>
        <w:tc>
          <w:tcPr>
            <w:tcW w:type="dxa" w:w="1233"/>
            <w:vAlign w:val="center"/>
          </w:tcPr>
          <w:p>
            <w:pPr>
              <w:spacing w:after="0"/>
            </w:pPr>
            <w:r/>
            <w:r>
              <w:rPr>
                <w:rFonts w:ascii="Arial" w:hAnsi="Arial"/>
                <w:b w:val="0"/>
                <w:sz w:val="14"/>
              </w:rPr>
              <w:t>0.97173</w:t>
            </w:r>
          </w:p>
        </w:tc>
      </w:tr>
      <w:tr>
        <w:trPr>
          <w:cantSplit w:val="true"/>
        </w:trPr>
        <w:tc>
          <w:tcPr>
            <w:tcW w:type="dxa" w:w="1233"/>
            <w:vAlign w:val="center"/>
          </w:tcPr>
          <w:p>
            <w:pPr>
              <w:spacing w:after="0"/>
            </w:pPr>
            <w:r/>
            <w:r>
              <w:rPr>
                <w:rFonts w:ascii="Arial" w:hAnsi="Arial"/>
                <w:b w:val="0"/>
                <w:sz w:val="14"/>
              </w:rPr>
              <w:t>B</w:t>
            </w:r>
          </w:p>
        </w:tc>
        <w:tc>
          <w:tcPr>
            <w:tcW w:type="dxa" w:w="1233"/>
            <w:vAlign w:val="center"/>
          </w:tcPr>
          <w:p>
            <w:pPr>
              <w:spacing w:after="0"/>
            </w:pPr>
            <w:r/>
            <w:r>
              <w:rPr>
                <w:rFonts w:ascii="Arial" w:hAnsi="Arial"/>
                <w:b w:val="0"/>
                <w:sz w:val="14"/>
              </w:rPr>
              <w:t>Comparison 1</w:t>
            </w:r>
          </w:p>
        </w:tc>
        <w:tc>
          <w:tcPr>
            <w:tcW w:type="dxa" w:w="1233"/>
            <w:vAlign w:val="center"/>
          </w:tcPr>
          <w:p>
            <w:pPr>
              <w:spacing w:after="0"/>
            </w:pPr>
            <w:r/>
            <w:r>
              <w:rPr>
                <w:rFonts w:ascii="Arial" w:hAnsi="Arial"/>
                <w:b w:val="0"/>
                <w:sz w:val="14"/>
              </w:rPr>
              <w:t>CVE-2023-34048</w:t>
            </w:r>
          </w:p>
        </w:tc>
        <w:tc>
          <w:tcPr>
            <w:tcW w:type="dxa" w:w="1233"/>
            <w:vAlign w:val="center"/>
          </w:tcPr>
          <w:p>
            <w:pPr>
              <w:spacing w:after="0"/>
            </w:pPr>
            <w:r/>
            <w:r>
              <w:rPr>
                <w:rFonts w:ascii="Arial" w:hAnsi="Arial"/>
                <w:b w:val="0"/>
                <w:sz w:val="14"/>
              </w:rPr>
              <w:t>2025-03-04</w:t>
            </w:r>
          </w:p>
        </w:tc>
        <w:tc>
          <w:tcPr>
            <w:tcW w:type="dxa" w:w="1233"/>
            <w:vAlign w:val="center"/>
          </w:tcPr>
          <w:p>
            <w:pPr>
              <w:spacing w:after="0"/>
            </w:pPr>
            <w:r/>
            <w:r>
              <w:rPr>
                <w:rFonts w:ascii="Arial" w:hAnsi="Arial"/>
                <w:b w:val="0"/>
                <w:sz w:val="14"/>
              </w:rPr>
              <w:t>54</w:t>
            </w:r>
          </w:p>
        </w:tc>
        <w:tc>
          <w:tcPr>
            <w:tcW w:type="dxa" w:w="1233"/>
            <w:vAlign w:val="center"/>
          </w:tcPr>
          <w:p>
            <w:pPr>
              <w:spacing w:after="0"/>
            </w:pPr>
            <w:r/>
            <w:r>
              <w:rPr>
                <w:rFonts w:ascii="Arial" w:hAnsi="Arial"/>
                <w:b w:val="0"/>
                <w:sz w:val="14"/>
              </w:rPr>
              <w:t>BleepingComputer</w:t>
            </w:r>
          </w:p>
        </w:tc>
        <w:tc>
          <w:tcPr>
            <w:tcW w:type="dxa" w:w="1233"/>
            <w:vAlign w:val="center"/>
          </w:tcPr>
          <w:p>
            <w:pPr>
              <w:spacing w:after="0"/>
            </w:pPr>
            <w:r/>
            <w:r>
              <w:rPr>
                <w:rFonts w:ascii="Arial" w:hAnsi="Arial"/>
                <w:b w:val="0"/>
                <w:sz w:val="14"/>
              </w:rPr>
              <w:t>2023 / Critical / 9.8</w:t>
            </w:r>
          </w:p>
        </w:tc>
        <w:tc>
          <w:tcPr>
            <w:tcW w:type="dxa" w:w="1233"/>
            <w:vAlign w:val="center"/>
          </w:tcPr>
          <w:p>
            <w:pPr>
              <w:spacing w:after="0"/>
            </w:pPr>
            <w:r/>
            <w:r>
              <w:rPr>
                <w:rFonts w:ascii="Arial" w:hAnsi="Arial"/>
                <w:b w:val="0"/>
                <w:sz w:val="14"/>
              </w:rPr>
              <w:t>0.97409</w:t>
            </w:r>
          </w:p>
        </w:tc>
      </w:tr>
      <w:tr>
        <w:trPr>
          <w:cantSplit w:val="true"/>
        </w:trPr>
        <w:tc>
          <w:tcPr>
            <w:tcW w:type="dxa" w:w="1233"/>
            <w:vAlign w:val="center"/>
          </w:tcPr>
          <w:p>
            <w:pPr>
              <w:spacing w:after="0"/>
            </w:pPr>
            <w:r/>
            <w:r>
              <w:rPr>
                <w:rFonts w:ascii="Arial" w:hAnsi="Arial"/>
                <w:b w:val="0"/>
                <w:sz w:val="14"/>
              </w:rPr>
              <w:t>B</w:t>
            </w:r>
          </w:p>
        </w:tc>
        <w:tc>
          <w:tcPr>
            <w:tcW w:type="dxa" w:w="1233"/>
            <w:vAlign w:val="center"/>
          </w:tcPr>
          <w:p>
            <w:pPr>
              <w:spacing w:after="0"/>
            </w:pPr>
            <w:r/>
            <w:r>
              <w:rPr>
                <w:rFonts w:ascii="Arial" w:hAnsi="Arial"/>
                <w:b w:val="0"/>
                <w:sz w:val="14"/>
              </w:rPr>
              <w:t>Comparison 2</w:t>
            </w:r>
          </w:p>
        </w:tc>
        <w:tc>
          <w:tcPr>
            <w:tcW w:type="dxa" w:w="1233"/>
            <w:vAlign w:val="center"/>
          </w:tcPr>
          <w:p>
            <w:pPr>
              <w:spacing w:after="0"/>
            </w:pPr>
            <w:r/>
            <w:r>
              <w:rPr>
                <w:rFonts w:ascii="Arial" w:hAnsi="Arial"/>
                <w:b w:val="0"/>
                <w:sz w:val="14"/>
              </w:rPr>
              <w:t>CVE-2023-26602</w:t>
            </w:r>
          </w:p>
        </w:tc>
        <w:tc>
          <w:tcPr>
            <w:tcW w:type="dxa" w:w="1233"/>
            <w:vAlign w:val="center"/>
          </w:tcPr>
          <w:p>
            <w:pPr>
              <w:spacing w:after="0"/>
            </w:pPr>
            <w:r/>
            <w:r>
              <w:rPr>
                <w:rFonts w:ascii="Arial" w:hAnsi="Arial"/>
                <w:b w:val="0"/>
                <w:sz w:val="14"/>
              </w:rPr>
              <w:t>2025-04-16</w:t>
            </w:r>
          </w:p>
        </w:tc>
        <w:tc>
          <w:tcPr>
            <w:tcW w:type="dxa" w:w="1233"/>
            <w:vAlign w:val="center"/>
          </w:tcPr>
          <w:p>
            <w:pPr>
              <w:spacing w:after="0"/>
            </w:pPr>
            <w:r/>
            <w:r>
              <w:rPr>
                <w:rFonts w:ascii="Arial" w:hAnsi="Arial"/>
                <w:b w:val="0"/>
                <w:sz w:val="14"/>
              </w:rPr>
              <w:t>97</w:t>
            </w:r>
          </w:p>
        </w:tc>
        <w:tc>
          <w:tcPr>
            <w:tcW w:type="dxa" w:w="1233"/>
            <w:vAlign w:val="center"/>
          </w:tcPr>
          <w:p>
            <w:pPr>
              <w:spacing w:after="0"/>
            </w:pPr>
            <w:r/>
            <w:r>
              <w:rPr>
                <w:rFonts w:ascii="Arial" w:hAnsi="Arial"/>
                <w:b w:val="0"/>
                <w:sz w:val="14"/>
              </w:rPr>
              <w:t>ExploitDB</w:t>
            </w:r>
          </w:p>
        </w:tc>
        <w:tc>
          <w:tcPr>
            <w:tcW w:type="dxa" w:w="1233"/>
            <w:vAlign w:val="center"/>
          </w:tcPr>
          <w:p>
            <w:pPr>
              <w:spacing w:after="0"/>
            </w:pPr>
            <w:r/>
            <w:r>
              <w:rPr>
                <w:rFonts w:ascii="Arial" w:hAnsi="Arial"/>
                <w:b w:val="0"/>
                <w:sz w:val="14"/>
              </w:rPr>
              <w:t>2023 / Critical / 9.8</w:t>
            </w:r>
          </w:p>
        </w:tc>
        <w:tc>
          <w:tcPr>
            <w:tcW w:type="dxa" w:w="1233"/>
            <w:vAlign w:val="center"/>
          </w:tcPr>
          <w:p>
            <w:pPr>
              <w:spacing w:after="0"/>
            </w:pPr>
            <w:r/>
            <w:r>
              <w:rPr>
                <w:rFonts w:ascii="Arial" w:hAnsi="Arial"/>
                <w:b w:val="0"/>
                <w:sz w:val="14"/>
              </w:rPr>
              <w:t>0.97588</w:t>
            </w:r>
          </w:p>
        </w:tc>
      </w:tr>
      <w:tr>
        <w:trPr>
          <w:cantSplit w:val="true"/>
        </w:trPr>
        <w:tc>
          <w:tcPr>
            <w:tcW w:type="dxa" w:w="1233"/>
            <w:vAlign w:val="center"/>
          </w:tcPr>
          <w:p>
            <w:pPr>
              <w:spacing w:after="0"/>
            </w:pPr>
            <w:r/>
            <w:r>
              <w:rPr>
                <w:rFonts w:ascii="Arial" w:hAnsi="Arial"/>
                <w:b w:val="0"/>
                <w:sz w:val="14"/>
              </w:rPr>
              <w:t>B</w:t>
            </w:r>
          </w:p>
        </w:tc>
        <w:tc>
          <w:tcPr>
            <w:tcW w:type="dxa" w:w="1233"/>
            <w:vAlign w:val="center"/>
          </w:tcPr>
          <w:p>
            <w:pPr>
              <w:spacing w:after="0"/>
            </w:pPr>
            <w:r/>
            <w:r>
              <w:rPr>
                <w:rFonts w:ascii="Arial" w:hAnsi="Arial"/>
                <w:b w:val="0"/>
                <w:sz w:val="14"/>
              </w:rPr>
              <w:t>Comparison 3</w:t>
            </w:r>
          </w:p>
        </w:tc>
        <w:tc>
          <w:tcPr>
            <w:tcW w:type="dxa" w:w="1233"/>
            <w:vAlign w:val="center"/>
          </w:tcPr>
          <w:p>
            <w:pPr>
              <w:spacing w:after="0"/>
            </w:pPr>
            <w:r/>
            <w:r>
              <w:rPr>
                <w:rFonts w:ascii="Arial" w:hAnsi="Arial"/>
                <w:b w:val="0"/>
                <w:sz w:val="14"/>
              </w:rPr>
              <w:t>CVE-2023-30258</w:t>
            </w:r>
          </w:p>
        </w:tc>
        <w:tc>
          <w:tcPr>
            <w:tcW w:type="dxa" w:w="1233"/>
            <w:vAlign w:val="center"/>
          </w:tcPr>
          <w:p>
            <w:pPr>
              <w:spacing w:after="0"/>
            </w:pPr>
            <w:r/>
            <w:r>
              <w:rPr>
                <w:rFonts w:ascii="Arial" w:hAnsi="Arial"/>
                <w:b w:val="0"/>
                <w:sz w:val="14"/>
              </w:rPr>
              <w:t>2025-04-11</w:t>
            </w:r>
          </w:p>
        </w:tc>
        <w:tc>
          <w:tcPr>
            <w:tcW w:type="dxa" w:w="1233"/>
            <w:vAlign w:val="center"/>
          </w:tcPr>
          <w:p>
            <w:pPr>
              <w:spacing w:after="0"/>
            </w:pPr>
            <w:r/>
            <w:r>
              <w:rPr>
                <w:rFonts w:ascii="Arial" w:hAnsi="Arial"/>
                <w:b w:val="0"/>
                <w:sz w:val="14"/>
              </w:rPr>
              <w:t>92</w:t>
            </w:r>
          </w:p>
        </w:tc>
        <w:tc>
          <w:tcPr>
            <w:tcW w:type="dxa" w:w="1233"/>
            <w:vAlign w:val="center"/>
          </w:tcPr>
          <w:p>
            <w:pPr>
              <w:spacing w:after="0"/>
            </w:pPr>
            <w:r/>
            <w:r>
              <w:rPr>
                <w:rFonts w:ascii="Arial" w:hAnsi="Arial"/>
                <w:b w:val="0"/>
                <w:sz w:val="14"/>
              </w:rPr>
              <w:t>ExploitDB</w:t>
            </w:r>
          </w:p>
        </w:tc>
        <w:tc>
          <w:tcPr>
            <w:tcW w:type="dxa" w:w="1233"/>
            <w:vAlign w:val="center"/>
          </w:tcPr>
          <w:p>
            <w:pPr>
              <w:spacing w:after="0"/>
            </w:pPr>
            <w:r/>
            <w:r>
              <w:rPr>
                <w:rFonts w:ascii="Arial" w:hAnsi="Arial"/>
                <w:b w:val="0"/>
                <w:sz w:val="14"/>
              </w:rPr>
              <w:t>2023 / Critical / 9.8</w:t>
            </w:r>
          </w:p>
        </w:tc>
        <w:tc>
          <w:tcPr>
            <w:tcW w:type="dxa" w:w="1233"/>
            <w:vAlign w:val="center"/>
          </w:tcPr>
          <w:p>
            <w:pPr>
              <w:spacing w:after="0"/>
            </w:pPr>
            <w:r/>
            <w:r>
              <w:rPr>
                <w:rFonts w:ascii="Arial" w:hAnsi="Arial"/>
                <w:b w:val="0"/>
                <w:sz w:val="14"/>
              </w:rPr>
              <w:t>0.98104</w:t>
            </w:r>
          </w:p>
        </w:tc>
      </w:tr>
    </w:tbl>
    <w:p>
      <w:pPr>
        <w:spacing w:after="40"/>
      </w:pPr>
    </w:p>
    <w:p>
      <w:pPr>
        <w:spacing w:after="180"/>
      </w:pPr>
      <w:r>
        <w:rPr>
          <w:b/>
        </w:rPr>
        <w:t>Table notes:</w:t>
      </w:r>
      <w:r>
        <w:t xml:space="preserve"> “Posted CVE” is the vulnerability whose first captured post defines the event date. “Comparison 1–3” are the three selected similar CVEs. “Days after event” is the number of days between the posted CVE's event and the comparison CVE's own first captured post. Every value is greater than 30. “Year / severity / CVSS” lists the CVE identifier year, severity level, and CVSS score. “Starting EPSS percentile” is measured on the posted CVE's event date. A value of 0.11870 means the CVE ranked above about 11.87% of scored CVEs that day.</w:t>
      </w:r>
    </w:p>
    <w:p>
      <w:r>
        <w:t xml:space="preserve">In </w:t>
      </w:r>
      <w:r>
        <w:rPr>
          <w:b/>
        </w:rPr>
        <w:t>Example A</w:t>
      </w:r>
      <w:r>
        <w:t xml:space="preserve">, </w:t>
      </w:r>
      <w:r>
        <w:rPr>
          <w:rFonts w:ascii="Courier New" w:hAnsi="Courier New"/>
          <w:sz w:val="18"/>
        </w:rPr>
        <w:t>CVE-2024-42733</w:t>
      </w:r>
      <w:r>
        <w:t xml:space="preserve"> had its first captured post on 10 March 2025. Its comparison CVEs first appeared 31, 32, and 36 days later. All four CVEs are from 2024, have Critical severity and CVSS 9.8, and had the same starting EPSS percentile of 0.11870. In </w:t>
      </w:r>
      <w:r>
        <w:rPr>
          <w:b/>
        </w:rPr>
        <w:t>Example B</w:t>
      </w:r>
      <w:r>
        <w:t xml:space="preserve">, </w:t>
      </w:r>
      <w:r>
        <w:rPr>
          <w:rFonts w:ascii="Courier New" w:hAnsi="Courier New"/>
          <w:sz w:val="18"/>
        </w:rPr>
        <w:t>CVE-2023-28461</w:t>
      </w:r>
      <w:r>
        <w:t xml:space="preserve"> and its comparison CVEs are 2023 Critical CVEs with CVSS 9.8. Their starting percentiles differ by no more than 0.00931, or 0.931 percentile points, and the comparison CVEs first appeared 54, 92, and 97 days later. In both examples, the complete CVSS submetric profiles also happen to agree, although the general selection rule explicitly requires only CVE year and uses severity and CVSS score in candidate selection.</w:t>
      </w:r>
    </w:p>
    <w:tbl>
      <w:tblPr>
        <w:tblStyle w:val="TableGrid"/>
        <w:tblW w:type="auto" w:w="0"/>
        <w:tblLayout w:type="autofit"/>
        <w:tblLook w:firstColumn="1" w:firstRow="1" w:lastColumn="0" w:lastRow="0" w:noHBand="0" w:noVBand="1" w:val="04A0"/>
      </w:tblPr>
      <w:tblGrid>
        <w:gridCol w:w="1644"/>
        <w:gridCol w:w="1644"/>
        <w:gridCol w:w="1644"/>
        <w:gridCol w:w="1644"/>
        <w:gridCol w:w="1644"/>
        <w:gridCol w:w="1644"/>
      </w:tblGrid>
      <w:tr>
        <w:trPr>
          <w:tblHeader w:val="true"/>
          <w:cantSplit w:val="true"/>
        </w:trPr>
        <w:tc>
          <w:tcPr>
            <w:tcW w:type="dxa" w:w="1644"/>
            <w:vAlign w:val="center"/>
            <w:shd w:fill="D9E6F5"/>
          </w:tcPr>
          <w:p>
            <w:pPr>
              <w:spacing w:after="0"/>
            </w:pPr>
            <w:r/>
            <w:r>
              <w:rPr>
                <w:rFonts w:ascii="Arial" w:hAnsi="Arial"/>
                <w:b/>
                <w:sz w:val="15"/>
              </w:rPr>
              <w:t>Example</w:t>
            </w:r>
          </w:p>
        </w:tc>
        <w:tc>
          <w:tcPr>
            <w:tcW w:type="dxa" w:w="1644"/>
            <w:vAlign w:val="center"/>
            <w:shd w:fill="D9E6F5"/>
          </w:tcPr>
          <w:p>
            <w:pPr>
              <w:spacing w:after="0"/>
            </w:pPr>
            <w:r/>
            <w:r>
              <w:rPr>
                <w:rFonts w:ascii="Arial" w:hAnsi="Arial"/>
                <w:b/>
                <w:sz w:val="15"/>
              </w:rPr>
              <w:t>Posted CVE</w:t>
            </w:r>
          </w:p>
        </w:tc>
        <w:tc>
          <w:tcPr>
            <w:tcW w:type="dxa" w:w="1644"/>
            <w:vAlign w:val="center"/>
            <w:shd w:fill="D9E6F5"/>
          </w:tcPr>
          <w:p>
            <w:pPr>
              <w:spacing w:after="0"/>
            </w:pPr>
            <w:r/>
            <w:r>
              <w:rPr>
                <w:rFonts w:ascii="Arial" w:hAnsi="Arial"/>
                <w:b/>
                <w:sz w:val="15"/>
              </w:rPr>
              <w:t>Horizon (days)</w:t>
            </w:r>
          </w:p>
        </w:tc>
        <w:tc>
          <w:tcPr>
            <w:tcW w:type="dxa" w:w="1644"/>
            <w:vAlign w:val="center"/>
            <w:shd w:fill="D9E6F5"/>
          </w:tcPr>
          <w:p>
            <w:pPr>
              <w:spacing w:after="0"/>
            </w:pPr>
            <w:r/>
            <w:r>
              <w:rPr>
                <w:rFonts w:ascii="Arial" w:hAnsi="Arial"/>
                <w:b/>
                <w:sz w:val="15"/>
              </w:rPr>
              <w:t>Posted CVE change</w:t>
            </w:r>
          </w:p>
        </w:tc>
        <w:tc>
          <w:tcPr>
            <w:tcW w:type="dxa" w:w="1644"/>
            <w:vAlign w:val="center"/>
            <w:shd w:fill="D9E6F5"/>
          </w:tcPr>
          <w:p>
            <w:pPr>
              <w:spacing w:after="0"/>
            </w:pPr>
            <w:r/>
            <w:r>
              <w:rPr>
                <w:rFonts w:ascii="Arial" w:hAnsi="Arial"/>
                <w:b/>
                <w:sz w:val="15"/>
              </w:rPr>
              <w:t>Average comparison-CVE change</w:t>
            </w:r>
          </w:p>
        </w:tc>
        <w:tc>
          <w:tcPr>
            <w:tcW w:type="dxa" w:w="1644"/>
            <w:vAlign w:val="center"/>
            <w:shd w:fill="D9E6F5"/>
          </w:tcPr>
          <w:p>
            <w:pPr>
              <w:spacing w:after="0"/>
            </w:pPr>
            <w:r/>
            <w:r>
              <w:rPr>
                <w:rFonts w:ascii="Arial" w:hAnsi="Arial"/>
                <w:b/>
                <w:sz w:val="15"/>
              </w:rPr>
              <w:t>Difference from similar CVEs</w:t>
            </w:r>
          </w:p>
        </w:tc>
      </w:tr>
      <w:tr>
        <w:trPr>
          <w:cantSplit w:val="true"/>
        </w:trPr>
        <w:tc>
          <w:tcPr>
            <w:tcW w:type="dxa" w:w="1644"/>
            <w:vAlign w:val="center"/>
          </w:tcPr>
          <w:p>
            <w:pPr>
              <w:spacing w:after="0"/>
            </w:pPr>
            <w:r/>
            <w:r>
              <w:rPr>
                <w:rFonts w:ascii="Arial" w:hAnsi="Arial"/>
                <w:b w:val="0"/>
                <w:sz w:val="15"/>
              </w:rPr>
              <w:t>A</w:t>
            </w:r>
          </w:p>
        </w:tc>
        <w:tc>
          <w:tcPr>
            <w:tcW w:type="dxa" w:w="1644"/>
            <w:vAlign w:val="center"/>
          </w:tcPr>
          <w:p>
            <w:pPr>
              <w:spacing w:after="0"/>
            </w:pPr>
            <w:r/>
            <w:r>
              <w:rPr>
                <w:rFonts w:ascii="Arial" w:hAnsi="Arial"/>
                <w:b w:val="0"/>
                <w:sz w:val="15"/>
              </w:rPr>
              <w:t>CVE-2024-42733</w:t>
            </w:r>
          </w:p>
        </w:tc>
        <w:tc>
          <w:tcPr>
            <w:tcW w:type="dxa" w:w="1644"/>
            <w:vAlign w:val="center"/>
          </w:tcPr>
          <w:p>
            <w:pPr>
              <w:spacing w:after="0"/>
            </w:pPr>
            <w:r/>
            <w:r>
              <w:rPr>
                <w:rFonts w:ascii="Arial" w:hAnsi="Arial"/>
                <w:b w:val="0"/>
                <w:sz w:val="15"/>
              </w:rPr>
              <w:t>7</w:t>
            </w:r>
          </w:p>
        </w:tc>
        <w:tc>
          <w:tcPr>
            <w:tcW w:type="dxa" w:w="1644"/>
            <w:vAlign w:val="center"/>
          </w:tcPr>
          <w:p>
            <w:pPr>
              <w:spacing w:after="0"/>
            </w:pPr>
            <w:r/>
            <w:r>
              <w:rPr>
                <w:rFonts w:ascii="Arial" w:hAnsi="Arial"/>
                <w:b w:val="0"/>
                <w:sz w:val="15"/>
              </w:rPr>
              <w:t>0.39616</w:t>
            </w:r>
          </w:p>
        </w:tc>
        <w:tc>
          <w:tcPr>
            <w:tcW w:type="dxa" w:w="1644"/>
            <w:vAlign w:val="center"/>
          </w:tcPr>
          <w:p>
            <w:pPr>
              <w:spacing w:after="0"/>
            </w:pPr>
            <w:r/>
            <w:r>
              <w:rPr>
                <w:rFonts w:ascii="Arial" w:hAnsi="Arial"/>
                <w:b w:val="0"/>
                <w:sz w:val="15"/>
              </w:rPr>
              <w:t>0.22199</w:t>
            </w:r>
          </w:p>
        </w:tc>
        <w:tc>
          <w:tcPr>
            <w:tcW w:type="dxa" w:w="1644"/>
            <w:vAlign w:val="center"/>
          </w:tcPr>
          <w:p>
            <w:pPr>
              <w:spacing w:after="0"/>
            </w:pPr>
            <w:r/>
            <w:r>
              <w:rPr>
                <w:rFonts w:ascii="Arial" w:hAnsi="Arial"/>
                <w:b w:val="0"/>
                <w:sz w:val="15"/>
              </w:rPr>
              <w:t>0.17417</w:t>
            </w:r>
          </w:p>
        </w:tc>
      </w:tr>
      <w:tr>
        <w:trPr>
          <w:cantSplit w:val="true"/>
        </w:trPr>
        <w:tc>
          <w:tcPr>
            <w:tcW w:type="dxa" w:w="1644"/>
            <w:vAlign w:val="center"/>
          </w:tcPr>
          <w:p>
            <w:pPr>
              <w:spacing w:after="0"/>
            </w:pPr>
            <w:r/>
            <w:r>
              <w:rPr>
                <w:rFonts w:ascii="Arial" w:hAnsi="Arial"/>
                <w:b w:val="0"/>
                <w:sz w:val="15"/>
              </w:rPr>
              <w:t>A</w:t>
            </w:r>
          </w:p>
        </w:tc>
        <w:tc>
          <w:tcPr>
            <w:tcW w:type="dxa" w:w="1644"/>
            <w:vAlign w:val="center"/>
          </w:tcPr>
          <w:p>
            <w:pPr>
              <w:spacing w:after="0"/>
            </w:pPr>
            <w:r/>
            <w:r>
              <w:rPr>
                <w:rFonts w:ascii="Arial" w:hAnsi="Arial"/>
                <w:b w:val="0"/>
                <w:sz w:val="15"/>
              </w:rPr>
              <w:t>CVE-2024-42733</w:t>
            </w:r>
          </w:p>
        </w:tc>
        <w:tc>
          <w:tcPr>
            <w:tcW w:type="dxa" w:w="1644"/>
            <w:vAlign w:val="center"/>
          </w:tcPr>
          <w:p>
            <w:pPr>
              <w:spacing w:after="0"/>
            </w:pPr>
            <w:r/>
            <w:r>
              <w:rPr>
                <w:rFonts w:ascii="Arial" w:hAnsi="Arial"/>
                <w:b w:val="0"/>
                <w:sz w:val="15"/>
              </w:rPr>
              <w:t>30</w:t>
            </w:r>
          </w:p>
        </w:tc>
        <w:tc>
          <w:tcPr>
            <w:tcW w:type="dxa" w:w="1644"/>
            <w:vAlign w:val="center"/>
          </w:tcPr>
          <w:p>
            <w:pPr>
              <w:spacing w:after="0"/>
            </w:pPr>
            <w:r/>
            <w:r>
              <w:rPr>
                <w:rFonts w:ascii="Arial" w:hAnsi="Arial"/>
                <w:b w:val="0"/>
                <w:sz w:val="15"/>
              </w:rPr>
              <w:t>0.41281</w:t>
            </w:r>
          </w:p>
        </w:tc>
        <w:tc>
          <w:tcPr>
            <w:tcW w:type="dxa" w:w="1644"/>
            <w:vAlign w:val="center"/>
          </w:tcPr>
          <w:p>
            <w:pPr>
              <w:spacing w:after="0"/>
            </w:pPr>
            <w:r/>
            <w:r>
              <w:rPr>
                <w:rFonts w:ascii="Arial" w:hAnsi="Arial"/>
                <w:b w:val="0"/>
                <w:sz w:val="15"/>
              </w:rPr>
              <w:t>0.27477</w:t>
            </w:r>
          </w:p>
        </w:tc>
        <w:tc>
          <w:tcPr>
            <w:tcW w:type="dxa" w:w="1644"/>
            <w:vAlign w:val="center"/>
          </w:tcPr>
          <w:p>
            <w:pPr>
              <w:spacing w:after="0"/>
            </w:pPr>
            <w:r/>
            <w:r>
              <w:rPr>
                <w:rFonts w:ascii="Arial" w:hAnsi="Arial"/>
                <w:b w:val="0"/>
                <w:sz w:val="15"/>
              </w:rPr>
              <w:t>0.13804</w:t>
            </w:r>
          </w:p>
        </w:tc>
      </w:tr>
      <w:tr>
        <w:trPr>
          <w:cantSplit w:val="true"/>
        </w:trPr>
        <w:tc>
          <w:tcPr>
            <w:tcW w:type="dxa" w:w="1644"/>
            <w:vAlign w:val="center"/>
          </w:tcPr>
          <w:p>
            <w:pPr>
              <w:spacing w:after="0"/>
            </w:pPr>
            <w:r/>
            <w:r>
              <w:rPr>
                <w:rFonts w:ascii="Arial" w:hAnsi="Arial"/>
                <w:b w:val="0"/>
                <w:sz w:val="15"/>
              </w:rPr>
              <w:t>B</w:t>
            </w:r>
          </w:p>
        </w:tc>
        <w:tc>
          <w:tcPr>
            <w:tcW w:type="dxa" w:w="1644"/>
            <w:vAlign w:val="center"/>
          </w:tcPr>
          <w:p>
            <w:pPr>
              <w:spacing w:after="0"/>
            </w:pPr>
            <w:r/>
            <w:r>
              <w:rPr>
                <w:rFonts w:ascii="Arial" w:hAnsi="Arial"/>
                <w:b w:val="0"/>
                <w:sz w:val="15"/>
              </w:rPr>
              <w:t>CVE-2023-28461</w:t>
            </w:r>
          </w:p>
        </w:tc>
        <w:tc>
          <w:tcPr>
            <w:tcW w:type="dxa" w:w="1644"/>
            <w:vAlign w:val="center"/>
          </w:tcPr>
          <w:p>
            <w:pPr>
              <w:spacing w:after="0"/>
            </w:pPr>
            <w:r/>
            <w:r>
              <w:rPr>
                <w:rFonts w:ascii="Arial" w:hAnsi="Arial"/>
                <w:b w:val="0"/>
                <w:sz w:val="15"/>
              </w:rPr>
              <w:t>7</w:t>
            </w:r>
          </w:p>
        </w:tc>
        <w:tc>
          <w:tcPr>
            <w:tcW w:type="dxa" w:w="1644"/>
            <w:vAlign w:val="center"/>
          </w:tcPr>
          <w:p>
            <w:pPr>
              <w:spacing w:after="0"/>
            </w:pPr>
            <w:r/>
            <w:r>
              <w:rPr>
                <w:rFonts w:ascii="Arial" w:hAnsi="Arial"/>
                <w:b w:val="0"/>
                <w:sz w:val="15"/>
              </w:rPr>
              <w:t>0.00013</w:t>
            </w:r>
          </w:p>
        </w:tc>
        <w:tc>
          <w:tcPr>
            <w:tcW w:type="dxa" w:w="1644"/>
            <w:vAlign w:val="center"/>
          </w:tcPr>
          <w:p>
            <w:pPr>
              <w:spacing w:after="0"/>
            </w:pPr>
            <w:r/>
            <w:r>
              <w:rPr>
                <w:rFonts w:ascii="Arial" w:hAnsi="Arial"/>
                <w:b w:val="0"/>
                <w:sz w:val="15"/>
              </w:rPr>
              <w:t>0.0017533</w:t>
            </w:r>
          </w:p>
        </w:tc>
        <w:tc>
          <w:tcPr>
            <w:tcW w:type="dxa" w:w="1644"/>
            <w:vAlign w:val="center"/>
          </w:tcPr>
          <w:p>
            <w:pPr>
              <w:spacing w:after="0"/>
            </w:pPr>
            <w:r/>
            <w:r>
              <w:rPr>
                <w:rFonts w:ascii="Arial" w:hAnsi="Arial"/>
                <w:b w:val="0"/>
                <w:sz w:val="15"/>
              </w:rPr>
              <w:t>-0.0016233</w:t>
            </w:r>
          </w:p>
        </w:tc>
      </w:tr>
      <w:tr>
        <w:trPr>
          <w:cantSplit w:val="true"/>
        </w:trPr>
        <w:tc>
          <w:tcPr>
            <w:tcW w:type="dxa" w:w="1644"/>
            <w:vAlign w:val="center"/>
          </w:tcPr>
          <w:p>
            <w:pPr>
              <w:spacing w:after="0"/>
            </w:pPr>
            <w:r/>
            <w:r>
              <w:rPr>
                <w:rFonts w:ascii="Arial" w:hAnsi="Arial"/>
                <w:b w:val="0"/>
                <w:sz w:val="15"/>
              </w:rPr>
              <w:t>B</w:t>
            </w:r>
          </w:p>
        </w:tc>
        <w:tc>
          <w:tcPr>
            <w:tcW w:type="dxa" w:w="1644"/>
            <w:vAlign w:val="center"/>
          </w:tcPr>
          <w:p>
            <w:pPr>
              <w:spacing w:after="0"/>
            </w:pPr>
            <w:r/>
            <w:r>
              <w:rPr>
                <w:rFonts w:ascii="Arial" w:hAnsi="Arial"/>
                <w:b w:val="0"/>
                <w:sz w:val="15"/>
              </w:rPr>
              <w:t>CVE-2023-28461</w:t>
            </w:r>
          </w:p>
        </w:tc>
        <w:tc>
          <w:tcPr>
            <w:tcW w:type="dxa" w:w="1644"/>
            <w:vAlign w:val="center"/>
          </w:tcPr>
          <w:p>
            <w:pPr>
              <w:spacing w:after="0"/>
            </w:pPr>
            <w:r/>
            <w:r>
              <w:rPr>
                <w:rFonts w:ascii="Arial" w:hAnsi="Arial"/>
                <w:b w:val="0"/>
                <w:sz w:val="15"/>
              </w:rPr>
              <w:t>30</w:t>
            </w:r>
          </w:p>
        </w:tc>
        <w:tc>
          <w:tcPr>
            <w:tcW w:type="dxa" w:w="1644"/>
            <w:vAlign w:val="center"/>
          </w:tcPr>
          <w:p>
            <w:pPr>
              <w:spacing w:after="0"/>
            </w:pPr>
            <w:r/>
            <w:r>
              <w:rPr>
                <w:rFonts w:ascii="Arial" w:hAnsi="Arial"/>
                <w:b w:val="0"/>
                <w:sz w:val="15"/>
              </w:rPr>
              <w:t>0.00033</w:t>
            </w:r>
          </w:p>
        </w:tc>
        <w:tc>
          <w:tcPr>
            <w:tcW w:type="dxa" w:w="1644"/>
            <w:vAlign w:val="center"/>
          </w:tcPr>
          <w:p>
            <w:pPr>
              <w:spacing w:after="0"/>
            </w:pPr>
            <w:r/>
            <w:r>
              <w:rPr>
                <w:rFonts w:ascii="Arial" w:hAnsi="Arial"/>
                <w:b w:val="0"/>
                <w:sz w:val="15"/>
              </w:rPr>
              <w:t>0.00187</w:t>
            </w:r>
          </w:p>
        </w:tc>
        <w:tc>
          <w:tcPr>
            <w:tcW w:type="dxa" w:w="1644"/>
            <w:vAlign w:val="center"/>
          </w:tcPr>
          <w:p>
            <w:pPr>
              <w:spacing w:after="0"/>
            </w:pPr>
            <w:r/>
            <w:r>
              <w:rPr>
                <w:rFonts w:ascii="Arial" w:hAnsi="Arial"/>
                <w:b w:val="0"/>
                <w:sz w:val="15"/>
              </w:rPr>
              <w:t>-0.00154</w:t>
            </w:r>
          </w:p>
        </w:tc>
      </w:tr>
    </w:tbl>
    <w:p>
      <w:pPr>
        <w:spacing w:after="40"/>
      </w:pPr>
    </w:p>
    <w:p>
      <w:pPr>
        <w:spacing w:after="180"/>
      </w:pPr>
      <w:r>
        <w:rPr>
          <w:b/>
        </w:rPr>
        <w:t>Table notes:</w:t>
      </w:r>
      <w:r>
        <w:t xml:space="preserve"> “Posted CVE change” is its later EPSS percentile minus its starting percentile. “Average comparison-CVE change” is the average of the same calculation for the three comparison CVEs over exactly the same calendar dates. “Difference from similar CVEs” is the posted-CVE change minus that average. Positive means the posted CVE rose more; negative means the comparison CVEs rose more on average.</w:t>
      </w:r>
    </w:p>
    <w:p>
      <w:r>
        <w:t xml:space="preserve">For Example A at seven days, the posted CVE changed by </w:t>
      </w:r>
      <w:r>
        <w:rPr>
          <w:rFonts w:ascii="Courier New" w:hAnsi="Courier New"/>
          <w:sz w:val="18"/>
        </w:rPr>
        <w:t>+0.39616</w:t>
      </w:r>
      <w:r>
        <w:t xml:space="preserve"> and its comparison CVEs changed by </w:t>
      </w:r>
      <w:r>
        <w:rPr>
          <w:rFonts w:ascii="Courier New" w:hAnsi="Courier New"/>
          <w:sz w:val="18"/>
        </w:rPr>
        <w:t>+0.22199</w:t>
      </w:r>
      <w:r>
        <w:t xml:space="preserve"> on average. The difference is </w:t>
      </w:r>
      <w:r>
        <w:rPr>
          <w:rFonts w:ascii="Courier New" w:hAnsi="Courier New"/>
          <w:sz w:val="18"/>
        </w:rPr>
        <w:t>+0.17417</w:t>
      </w:r>
      <w:r>
        <w:t xml:space="preserve">, or 17.417 percentile points. For Example B, the posted CVE changed by only </w:t>
      </w:r>
      <w:r>
        <w:rPr>
          <w:rFonts w:ascii="Courier New" w:hAnsi="Courier New"/>
          <w:sz w:val="18"/>
        </w:rPr>
        <w:t>+0.00013</w:t>
      </w:r>
      <w:r>
        <w:t xml:space="preserve">, while its comparison CVEs changed by </w:t>
      </w:r>
      <w:r>
        <w:rPr>
          <w:rFonts w:ascii="Courier New" w:hAnsi="Courier New"/>
          <w:sz w:val="18"/>
        </w:rPr>
        <w:t>+0.00175</w:t>
      </w:r>
      <w:r>
        <w:t xml:space="preserve"> on average. Its difference is </w:t>
      </w:r>
      <w:r>
        <w:rPr>
          <w:rFonts w:ascii="Courier New" w:hAnsi="Courier New"/>
          <w:sz w:val="18"/>
        </w:rPr>
        <w:t>-0.00162</w:t>
      </w:r>
      <w:r>
        <w:t>, meaning the comparison CVEs rose slightly more. These are worked examples, not the final evidence. The reported study result combines all 869 posted CVEs with valid seven-day comparison outcomes.</w:t>
      </w:r>
    </w:p>
    <w:p>
      <w:pPr>
        <w:pStyle w:val="Heading2"/>
      </w:pPr>
      <w:r>
        <w:t>How to Read the Two Comparisons</w:t>
      </w:r>
    </w:p>
    <w:p>
      <w:r>
        <w:t xml:space="preserve">The first comparison, </w:t>
      </w:r>
      <w:r>
        <w:rPr>
          <w:b/>
        </w:rPr>
        <w:t>Change in Posted CVEs Alone</w:t>
      </w:r>
      <w:r>
        <w:t xml:space="preserve">, measures how the EPSS percentile of each posted CVE changed after its first captured social-media post. It answers: </w:t>
      </w:r>
      <w:r>
        <w:rPr>
          <w:i/>
        </w:rPr>
        <w:t>Did the posted CVE's EPSS percentile increase or decrease after the captured post?</w:t>
      </w:r>
    </w:p>
    <w:p>
      <w:pPr>
        <w:keepLines/>
        <w:spacing w:before="120" w:after="160"/>
      </w:pPr>
      <w:r>
        <w:rPr>
          <w:b/>
        </w:rPr>
        <w:t>Example:</w:t>
      </w:r>
      <w:r>
        <w:t xml:space="preserve"> A posted CVE starts at EPSS percentile 0.60 and reaches 0.70 after seven days. Its change is </w:t>
      </w:r>
      <w:r>
        <w:rPr>
          <w:rFonts w:ascii="Courier New" w:hAnsi="Courier New"/>
          <w:sz w:val="18"/>
        </w:rPr>
        <w:t>0.70 - 0.60 = +0.10</w:t>
      </w:r>
      <w:r>
        <w:t>, an increase of 10 percentile points. This shows that the CVE moved upward, but it does not show whether the increase was unusual because similar CVEs may also have risen during the same seven days.</w:t>
      </w:r>
    </w:p>
    <w:p>
      <w:r>
        <w:t xml:space="preserve">The second comparison, </w:t>
      </w:r>
      <w:r>
        <w:rPr>
          <w:b/>
        </w:rPr>
        <w:t>Change Compared with Similar CVEs</w:t>
      </w:r>
      <w:r>
        <w:t xml:space="preserve">, subtracts the average change of the selected comparison CVEs from the change of the posted CVE. It answers: </w:t>
      </w:r>
      <w:r>
        <w:rPr>
          <w:i/>
        </w:rPr>
        <w:t>Did the posted CVE change more or less than similar CVEs during the same period?</w:t>
      </w:r>
    </w:p>
    <w:p>
      <w:pPr>
        <w:keepLines/>
        <w:spacing w:before="120" w:after="160"/>
      </w:pPr>
      <w:r>
        <w:rPr>
          <w:b/>
        </w:rPr>
        <w:t>Example:</w:t>
      </w:r>
      <w:r>
        <w:t xml:space="preserve"> The posted CVE increases by </w:t>
      </w:r>
      <w:r>
        <w:rPr>
          <w:rFonts w:ascii="Courier New" w:hAnsi="Courier New"/>
          <w:sz w:val="18"/>
        </w:rPr>
        <w:t>+0.10</w:t>
      </w:r>
      <w:r>
        <w:t xml:space="preserve">. Its comparison CVEs increase by an average of </w:t>
      </w:r>
      <w:r>
        <w:rPr>
          <w:rFonts w:ascii="Courier New" w:hAnsi="Courier New"/>
          <w:sz w:val="18"/>
        </w:rPr>
        <w:t>+0.03</w:t>
      </w:r>
      <w:r>
        <w:t xml:space="preserve">. The difference is </w:t>
      </w:r>
      <w:r>
        <w:rPr>
          <w:rFonts w:ascii="Courier New" w:hAnsi="Courier New"/>
          <w:sz w:val="18"/>
        </w:rPr>
        <w:t>+0.10 - (+0.03) = +0.07</w:t>
      </w:r>
      <w:r>
        <w:t>. The posted CVE therefore rose by 7 percentile points more than the similar CVEs. This shows a larger relative change, but it does not prove that the social-media post caused the increase. The post and the EPSS change may both reflect the same developing security threat.</w:t>
      </w:r>
    </w:p>
    <w:p>
      <w:pPr>
        <w:pStyle w:val="Heading2"/>
      </w:pPr>
      <w:r>
        <w:t>Change in Posted CVEs Alone</w:t>
      </w:r>
    </w:p>
    <w:tbl>
      <w:tblPr>
        <w:tblStyle w:val="TableGrid"/>
        <w:tblW w:type="auto" w:w="0"/>
        <w:tblLayout w:type="autofit"/>
        <w:tblLook w:firstColumn="1" w:firstRow="1" w:lastColumn="0" w:lastRow="0" w:noHBand="0" w:noVBand="1" w:val="04A0"/>
      </w:tblPr>
      <w:tblGrid>
        <w:gridCol w:w="1409"/>
        <w:gridCol w:w="1409"/>
        <w:gridCol w:w="1409"/>
        <w:gridCol w:w="1409"/>
        <w:gridCol w:w="1409"/>
        <w:gridCol w:w="1409"/>
        <w:gridCol w:w="1409"/>
      </w:tblGrid>
      <w:tr>
        <w:trPr>
          <w:tblHeader w:val="true"/>
          <w:cantSplit w:val="true"/>
        </w:trPr>
        <w:tc>
          <w:tcPr>
            <w:tcW w:type="dxa" w:w="1409"/>
            <w:vAlign w:val="center"/>
            <w:shd w:fill="D9E6F5"/>
          </w:tcPr>
          <w:p>
            <w:pPr>
              <w:spacing w:after="0"/>
            </w:pPr>
            <w:r/>
            <w:r>
              <w:rPr>
                <w:rFonts w:ascii="Arial" w:hAnsi="Arial"/>
                <w:b/>
                <w:sz w:val="14"/>
              </w:rPr>
              <w:t>Horizon (days)</w:t>
            </w:r>
          </w:p>
        </w:tc>
        <w:tc>
          <w:tcPr>
            <w:tcW w:type="dxa" w:w="1409"/>
            <w:vAlign w:val="center"/>
            <w:shd w:fill="D9E6F5"/>
          </w:tcPr>
          <w:p>
            <w:pPr>
              <w:spacing w:after="0"/>
            </w:pPr>
            <w:r/>
            <w:r>
              <w:rPr>
                <w:rFonts w:ascii="Arial" w:hAnsi="Arial"/>
                <w:b/>
                <w:sz w:val="14"/>
              </w:rPr>
              <w:t>Posted CVEs included</w:t>
            </w:r>
          </w:p>
        </w:tc>
        <w:tc>
          <w:tcPr>
            <w:tcW w:type="dxa" w:w="1409"/>
            <w:vAlign w:val="center"/>
            <w:shd w:fill="D9E6F5"/>
          </w:tcPr>
          <w:p>
            <w:pPr>
              <w:spacing w:after="0"/>
            </w:pPr>
            <w:r/>
            <w:r>
              <w:rPr>
                <w:rFonts w:ascii="Arial" w:hAnsi="Arial"/>
                <w:b/>
                <w:sz w:val="14"/>
              </w:rPr>
              <w:t>Mean change in posted CVEs</w:t>
            </w:r>
          </w:p>
        </w:tc>
        <w:tc>
          <w:tcPr>
            <w:tcW w:type="dxa" w:w="1409"/>
            <w:vAlign w:val="center"/>
            <w:shd w:fill="D9E6F5"/>
          </w:tcPr>
          <w:p>
            <w:pPr>
              <w:spacing w:after="0"/>
            </w:pPr>
            <w:r/>
            <w:r>
              <w:rPr>
                <w:rFonts w:ascii="Arial" w:hAnsi="Arial"/>
                <w:b/>
                <w:sz w:val="14"/>
              </w:rPr>
              <w:t>Median change in posted CVEs</w:t>
            </w:r>
          </w:p>
        </w:tc>
        <w:tc>
          <w:tcPr>
            <w:tcW w:type="dxa" w:w="1409"/>
            <w:vAlign w:val="center"/>
            <w:shd w:fill="D9E6F5"/>
          </w:tcPr>
          <w:p>
            <w:pPr>
              <w:spacing w:after="0"/>
            </w:pPr>
            <w:r/>
            <w:r>
              <w:rPr>
                <w:rFonts w:ascii="Arial" w:hAnsi="Arial"/>
                <w:b/>
                <w:sz w:val="14"/>
              </w:rPr>
              <w:t>Posted CVEs increased (%)</w:t>
            </w:r>
          </w:p>
        </w:tc>
        <w:tc>
          <w:tcPr>
            <w:tcW w:type="dxa" w:w="1409"/>
            <w:vAlign w:val="center"/>
            <w:shd w:fill="D9E6F5"/>
          </w:tcPr>
          <w:p>
            <w:pPr>
              <w:spacing w:after="0"/>
            </w:pPr>
            <w:r/>
            <w:r>
              <w:rPr>
                <w:rFonts w:ascii="Arial" w:hAnsi="Arial"/>
                <w:b/>
                <w:sz w:val="14"/>
              </w:rPr>
              <w:t>Posted CVEs decreased (%)</w:t>
            </w:r>
          </w:p>
        </w:tc>
        <w:tc>
          <w:tcPr>
            <w:tcW w:type="dxa" w:w="1409"/>
            <w:vAlign w:val="center"/>
            <w:shd w:fill="D9E6F5"/>
          </w:tcPr>
          <w:p>
            <w:pPr>
              <w:spacing w:after="0"/>
            </w:pPr>
            <w:r/>
            <w:r>
              <w:rPr>
                <w:rFonts w:ascii="Arial" w:hAnsi="Arial"/>
                <w:b/>
                <w:sz w:val="14"/>
              </w:rPr>
              <w:t>Posted CVEs unchanged (%)</w:t>
            </w:r>
          </w:p>
        </w:tc>
      </w:tr>
      <w:tr>
        <w:trPr>
          <w:cantSplit w:val="true"/>
        </w:trPr>
        <w:tc>
          <w:tcPr>
            <w:tcW w:type="dxa" w:w="1409"/>
            <w:vAlign w:val="center"/>
          </w:tcPr>
          <w:p>
            <w:pPr>
              <w:spacing w:after="0"/>
            </w:pPr>
            <w:r/>
            <w:r>
              <w:rPr>
                <w:rFonts w:ascii="Arial" w:hAnsi="Arial"/>
                <w:b w:val="0"/>
                <w:sz w:val="14"/>
              </w:rPr>
              <w:t>7</w:t>
            </w:r>
          </w:p>
        </w:tc>
        <w:tc>
          <w:tcPr>
            <w:tcW w:type="dxa" w:w="1409"/>
            <w:vAlign w:val="center"/>
          </w:tcPr>
          <w:p>
            <w:pPr>
              <w:spacing w:after="0"/>
            </w:pPr>
            <w:r/>
            <w:r>
              <w:rPr>
                <w:rFonts w:ascii="Arial" w:hAnsi="Arial"/>
                <w:b w:val="0"/>
                <w:sz w:val="14"/>
              </w:rPr>
              <w:t>4092</w:t>
            </w:r>
          </w:p>
        </w:tc>
        <w:tc>
          <w:tcPr>
            <w:tcW w:type="dxa" w:w="1409"/>
            <w:vAlign w:val="center"/>
          </w:tcPr>
          <w:p>
            <w:pPr>
              <w:spacing w:after="0"/>
            </w:pPr>
            <w:r/>
            <w:r>
              <w:rPr>
                <w:rFonts w:ascii="Arial" w:hAnsi="Arial"/>
                <w:b w:val="0"/>
                <w:sz w:val="14"/>
              </w:rPr>
              <w:t>0.04299</w:t>
            </w:r>
          </w:p>
        </w:tc>
        <w:tc>
          <w:tcPr>
            <w:tcW w:type="dxa" w:w="1409"/>
            <w:vAlign w:val="center"/>
          </w:tcPr>
          <w:p>
            <w:pPr>
              <w:spacing w:after="0"/>
            </w:pPr>
            <w:r/>
            <w:r>
              <w:rPr>
                <w:rFonts w:ascii="Arial" w:hAnsi="Arial"/>
                <w:b w:val="0"/>
                <w:sz w:val="14"/>
              </w:rPr>
              <w:t>0.00125</w:t>
            </w:r>
          </w:p>
        </w:tc>
        <w:tc>
          <w:tcPr>
            <w:tcW w:type="dxa" w:w="1409"/>
            <w:vAlign w:val="center"/>
          </w:tcPr>
          <w:p>
            <w:pPr>
              <w:spacing w:after="0"/>
            </w:pPr>
            <w:r/>
            <w:r>
              <w:rPr>
                <w:rFonts w:ascii="Arial" w:hAnsi="Arial"/>
                <w:b w:val="0"/>
                <w:sz w:val="14"/>
              </w:rPr>
              <w:t>81.92</w:t>
            </w:r>
          </w:p>
        </w:tc>
        <w:tc>
          <w:tcPr>
            <w:tcW w:type="dxa" w:w="1409"/>
            <w:vAlign w:val="center"/>
          </w:tcPr>
          <w:p>
            <w:pPr>
              <w:spacing w:after="0"/>
            </w:pPr>
            <w:r/>
            <w:r>
              <w:rPr>
                <w:rFonts w:ascii="Arial" w:hAnsi="Arial"/>
                <w:b w:val="0"/>
                <w:sz w:val="14"/>
              </w:rPr>
              <w:t>17.38</w:t>
            </w:r>
          </w:p>
        </w:tc>
        <w:tc>
          <w:tcPr>
            <w:tcW w:type="dxa" w:w="1409"/>
            <w:vAlign w:val="center"/>
          </w:tcPr>
          <w:p>
            <w:pPr>
              <w:spacing w:after="0"/>
            </w:pPr>
            <w:r/>
            <w:r>
              <w:rPr>
                <w:rFonts w:ascii="Arial" w:hAnsi="Arial"/>
                <w:b w:val="0"/>
                <w:sz w:val="14"/>
              </w:rPr>
              <w:t>0.71</w:t>
            </w:r>
          </w:p>
        </w:tc>
      </w:tr>
      <w:tr>
        <w:trPr>
          <w:cantSplit w:val="true"/>
        </w:trPr>
        <w:tc>
          <w:tcPr>
            <w:tcW w:type="dxa" w:w="1409"/>
            <w:vAlign w:val="center"/>
          </w:tcPr>
          <w:p>
            <w:pPr>
              <w:spacing w:after="0"/>
            </w:pPr>
            <w:r/>
            <w:r>
              <w:rPr>
                <w:rFonts w:ascii="Arial" w:hAnsi="Arial"/>
                <w:b w:val="0"/>
                <w:sz w:val="14"/>
              </w:rPr>
              <w:t>30</w:t>
            </w:r>
          </w:p>
        </w:tc>
        <w:tc>
          <w:tcPr>
            <w:tcW w:type="dxa" w:w="1409"/>
            <w:vAlign w:val="center"/>
          </w:tcPr>
          <w:p>
            <w:pPr>
              <w:spacing w:after="0"/>
            </w:pPr>
            <w:r/>
            <w:r>
              <w:rPr>
                <w:rFonts w:ascii="Arial" w:hAnsi="Arial"/>
                <w:b w:val="0"/>
                <w:sz w:val="14"/>
              </w:rPr>
              <w:t>4088</w:t>
            </w:r>
          </w:p>
        </w:tc>
        <w:tc>
          <w:tcPr>
            <w:tcW w:type="dxa" w:w="1409"/>
            <w:vAlign w:val="center"/>
          </w:tcPr>
          <w:p>
            <w:pPr>
              <w:spacing w:after="0"/>
            </w:pPr>
            <w:r/>
            <w:r>
              <w:rPr>
                <w:rFonts w:ascii="Arial" w:hAnsi="Arial"/>
                <w:b w:val="0"/>
                <w:sz w:val="14"/>
              </w:rPr>
              <w:t>0.060727</w:t>
            </w:r>
          </w:p>
        </w:tc>
        <w:tc>
          <w:tcPr>
            <w:tcW w:type="dxa" w:w="1409"/>
            <w:vAlign w:val="center"/>
          </w:tcPr>
          <w:p>
            <w:pPr>
              <w:spacing w:after="0"/>
            </w:pPr>
            <w:r/>
            <w:r>
              <w:rPr>
                <w:rFonts w:ascii="Arial" w:hAnsi="Arial"/>
                <w:b w:val="0"/>
                <w:sz w:val="14"/>
              </w:rPr>
              <w:t>0.00612</w:t>
            </w:r>
          </w:p>
        </w:tc>
        <w:tc>
          <w:tcPr>
            <w:tcW w:type="dxa" w:w="1409"/>
            <w:vAlign w:val="center"/>
          </w:tcPr>
          <w:p>
            <w:pPr>
              <w:spacing w:after="0"/>
            </w:pPr>
            <w:r/>
            <w:r>
              <w:rPr>
                <w:rFonts w:ascii="Arial" w:hAnsi="Arial"/>
                <w:b w:val="0"/>
                <w:sz w:val="14"/>
              </w:rPr>
              <w:t>83.93</w:t>
            </w:r>
          </w:p>
        </w:tc>
        <w:tc>
          <w:tcPr>
            <w:tcW w:type="dxa" w:w="1409"/>
            <w:vAlign w:val="center"/>
          </w:tcPr>
          <w:p>
            <w:pPr>
              <w:spacing w:after="0"/>
            </w:pPr>
            <w:r/>
            <w:r>
              <w:rPr>
                <w:rFonts w:ascii="Arial" w:hAnsi="Arial"/>
                <w:b w:val="0"/>
                <w:sz w:val="14"/>
              </w:rPr>
              <w:t>15.85</w:t>
            </w:r>
          </w:p>
        </w:tc>
        <w:tc>
          <w:tcPr>
            <w:tcW w:type="dxa" w:w="1409"/>
            <w:vAlign w:val="center"/>
          </w:tcPr>
          <w:p>
            <w:pPr>
              <w:spacing w:after="0"/>
            </w:pPr>
            <w:r/>
            <w:r>
              <w:rPr>
                <w:rFonts w:ascii="Arial" w:hAnsi="Arial"/>
                <w:b w:val="0"/>
                <w:sz w:val="14"/>
              </w:rPr>
              <w:t>0.22</w:t>
            </w:r>
          </w:p>
        </w:tc>
      </w:tr>
    </w:tbl>
    <w:p>
      <w:pPr>
        <w:spacing w:after="40"/>
      </w:pPr>
    </w:p>
    <w:p>
      <w:pPr>
        <w:spacing w:after="180"/>
      </w:pPr>
      <w:r>
        <w:rPr>
          <w:b/>
        </w:rPr>
        <w:t>Table notes:</w:t>
      </w:r>
      <w:r>
        <w:t xml:space="preserve"> “Horizon” is the number of days after the first post. “Posted CVEs included” is the number with both a starting EPSS percentile and a later percentile at that horizon. “Mean change” is the average change across those CVEs, while “median change” is the middle change after ordering all changes. Each change is the later percentile minus the starting percentile. A positive value means the CVE moved upward relative to other CVEs, and a negative value means it moved downward. The final three columns show the percentages that increased, decreased, or remained unchanged.</w:t>
      </w:r>
    </w:p>
    <w:p>
      <w:pPr>
        <w:pStyle w:val="Heading2"/>
      </w:pPr>
      <w:r>
        <w:t>Change Compared with Similar CVEs</w:t>
      </w:r>
    </w:p>
    <w:p>
      <w:pPr>
        <w:keepNext/>
        <w:spacing w:after="60"/>
      </w:pPr>
      <w:r>
        <w:t>All posted CVEs with selected comparison CVEs:</w:t>
      </w:r>
    </w:p>
    <w:tbl>
      <w:tblPr>
        <w:tblStyle w:val="TableGrid"/>
        <w:tblW w:type="auto" w:w="0"/>
        <w:tblLayout w:type="autofit"/>
        <w:tblLook w:firstColumn="1" w:firstRow="1" w:lastColumn="0" w:lastRow="0" w:noHBand="0" w:noVBand="1" w:val="04A0"/>
      </w:tblPr>
      <w:tblGrid>
        <w:gridCol w:w="987"/>
        <w:gridCol w:w="987"/>
        <w:gridCol w:w="987"/>
        <w:gridCol w:w="987"/>
        <w:gridCol w:w="987"/>
        <w:gridCol w:w="987"/>
        <w:gridCol w:w="987"/>
        <w:gridCol w:w="987"/>
        <w:gridCol w:w="987"/>
        <w:gridCol w:w="987"/>
      </w:tblGrid>
      <w:tr>
        <w:trPr>
          <w:tblHeader w:val="true"/>
          <w:cantSplit w:val="true"/>
        </w:trPr>
        <w:tc>
          <w:tcPr>
            <w:tcW w:type="dxa" w:w="987"/>
            <w:vAlign w:val="center"/>
            <w:shd w:fill="D9E6F5"/>
          </w:tcPr>
          <w:p>
            <w:pPr>
              <w:spacing w:after="0"/>
            </w:pPr>
            <w:r/>
            <w:r>
              <w:rPr>
                <w:rFonts w:ascii="Arial" w:hAnsi="Arial"/>
                <w:b/>
                <w:sz w:val="14"/>
              </w:rPr>
              <w:t>Horizon (days)</w:t>
            </w:r>
          </w:p>
        </w:tc>
        <w:tc>
          <w:tcPr>
            <w:tcW w:type="dxa" w:w="987"/>
            <w:vAlign w:val="center"/>
            <w:shd w:fill="D9E6F5"/>
          </w:tcPr>
          <w:p>
            <w:pPr>
              <w:spacing w:after="0"/>
            </w:pPr>
            <w:r/>
            <w:r>
              <w:rPr>
                <w:rFonts w:ascii="Arial" w:hAnsi="Arial"/>
                <w:b/>
                <w:sz w:val="14"/>
              </w:rPr>
              <w:t>Posted CVEs compared</w:t>
            </w:r>
          </w:p>
        </w:tc>
        <w:tc>
          <w:tcPr>
            <w:tcW w:type="dxa" w:w="987"/>
            <w:vAlign w:val="center"/>
            <w:shd w:fill="D9E6F5"/>
          </w:tcPr>
          <w:p>
            <w:pPr>
              <w:spacing w:after="0"/>
            </w:pPr>
            <w:r/>
            <w:r>
              <w:rPr>
                <w:rFonts w:ascii="Arial" w:hAnsi="Arial"/>
                <w:b/>
                <w:sz w:val="14"/>
              </w:rPr>
              <w:t>Mean difference from similar CVEs</w:t>
            </w:r>
          </w:p>
        </w:tc>
        <w:tc>
          <w:tcPr>
            <w:tcW w:type="dxa" w:w="987"/>
            <w:vAlign w:val="center"/>
            <w:shd w:fill="D9E6F5"/>
          </w:tcPr>
          <w:p>
            <w:pPr>
              <w:spacing w:after="0"/>
            </w:pPr>
            <w:r/>
            <w:r>
              <w:rPr>
                <w:rFonts w:ascii="Arial" w:hAnsi="Arial"/>
                <w:b/>
                <w:sz w:val="14"/>
              </w:rPr>
              <w:t>Median difference from similar CVEs</w:t>
            </w:r>
          </w:p>
        </w:tc>
        <w:tc>
          <w:tcPr>
            <w:tcW w:type="dxa" w:w="987"/>
            <w:vAlign w:val="center"/>
            <w:shd w:fill="D9E6F5"/>
          </w:tcPr>
          <w:p>
            <w:pPr>
              <w:spacing w:after="0"/>
            </w:pPr>
            <w:r/>
            <w:r>
              <w:rPr>
                <w:rFonts w:ascii="Arial" w:hAnsi="Arial"/>
                <w:b/>
                <w:sz w:val="14"/>
              </w:rPr>
              <w:t>25th percentile</w:t>
            </w:r>
          </w:p>
        </w:tc>
        <w:tc>
          <w:tcPr>
            <w:tcW w:type="dxa" w:w="987"/>
            <w:vAlign w:val="center"/>
            <w:shd w:fill="D9E6F5"/>
          </w:tcPr>
          <w:p>
            <w:pPr>
              <w:spacing w:after="0"/>
            </w:pPr>
            <w:r/>
            <w:r>
              <w:rPr>
                <w:rFonts w:ascii="Arial" w:hAnsi="Arial"/>
                <w:b/>
                <w:sz w:val="14"/>
              </w:rPr>
              <w:t>75th percentile</w:t>
            </w:r>
          </w:p>
        </w:tc>
        <w:tc>
          <w:tcPr>
            <w:tcW w:type="dxa" w:w="987"/>
            <w:vAlign w:val="center"/>
            <w:shd w:fill="D9E6F5"/>
          </w:tcPr>
          <w:p>
            <w:pPr>
              <w:spacing w:after="0"/>
            </w:pPr>
            <w:r/>
            <w:r>
              <w:rPr>
                <w:rFonts w:ascii="Arial" w:hAnsi="Arial"/>
                <w:b/>
                <w:sz w:val="14"/>
              </w:rPr>
              <w:t>Posted CVE rose more (%)</w:t>
            </w:r>
          </w:p>
        </w:tc>
        <w:tc>
          <w:tcPr>
            <w:tcW w:type="dxa" w:w="987"/>
            <w:vAlign w:val="center"/>
            <w:shd w:fill="D9E6F5"/>
          </w:tcPr>
          <w:p>
            <w:pPr>
              <w:spacing w:after="0"/>
            </w:pPr>
            <w:r/>
            <w:r>
              <w:rPr>
                <w:rFonts w:ascii="Arial" w:hAnsi="Arial"/>
                <w:b/>
                <w:sz w:val="14"/>
              </w:rPr>
              <w:t>Posted CVE rose less (%)</w:t>
            </w:r>
          </w:p>
        </w:tc>
        <w:tc>
          <w:tcPr>
            <w:tcW w:type="dxa" w:w="987"/>
            <w:vAlign w:val="center"/>
            <w:shd w:fill="D9E6F5"/>
          </w:tcPr>
          <w:p>
            <w:pPr>
              <w:spacing w:after="0"/>
            </w:pPr>
            <w:r/>
            <w:r>
              <w:rPr>
                <w:rFonts w:ascii="Arial" w:hAnsi="Arial"/>
                <w:b/>
                <w:sz w:val="14"/>
              </w:rPr>
              <w:t>t-test p-value</w:t>
            </w:r>
          </w:p>
        </w:tc>
        <w:tc>
          <w:tcPr>
            <w:tcW w:type="dxa" w:w="987"/>
            <w:vAlign w:val="center"/>
            <w:shd w:fill="D9E6F5"/>
          </w:tcPr>
          <w:p>
            <w:pPr>
              <w:spacing w:after="0"/>
            </w:pPr>
            <w:r/>
            <w:r>
              <w:rPr>
                <w:rFonts w:ascii="Arial" w:hAnsi="Arial"/>
                <w:b/>
                <w:sz w:val="14"/>
              </w:rPr>
              <w:t>Wilcoxon p-value</w:t>
            </w:r>
          </w:p>
        </w:tc>
      </w:tr>
      <w:tr>
        <w:trPr>
          <w:cantSplit w:val="true"/>
        </w:trPr>
        <w:tc>
          <w:tcPr>
            <w:tcW w:type="dxa" w:w="987"/>
            <w:vAlign w:val="center"/>
          </w:tcPr>
          <w:p>
            <w:pPr>
              <w:spacing w:after="0"/>
            </w:pPr>
            <w:r/>
            <w:r>
              <w:rPr>
                <w:rFonts w:ascii="Arial" w:hAnsi="Arial"/>
                <w:b w:val="0"/>
                <w:sz w:val="14"/>
              </w:rPr>
              <w:t>7</w:t>
            </w:r>
          </w:p>
        </w:tc>
        <w:tc>
          <w:tcPr>
            <w:tcW w:type="dxa" w:w="987"/>
            <w:vAlign w:val="center"/>
          </w:tcPr>
          <w:p>
            <w:pPr>
              <w:spacing w:after="0"/>
            </w:pPr>
            <w:r/>
            <w:r>
              <w:rPr>
                <w:rFonts w:ascii="Arial" w:hAnsi="Arial"/>
                <w:b w:val="0"/>
                <w:sz w:val="14"/>
              </w:rPr>
              <w:t>869</w:t>
            </w:r>
          </w:p>
        </w:tc>
        <w:tc>
          <w:tcPr>
            <w:tcW w:type="dxa" w:w="987"/>
            <w:vAlign w:val="center"/>
          </w:tcPr>
          <w:p>
            <w:pPr>
              <w:spacing w:after="0"/>
            </w:pPr>
            <w:r/>
            <w:r>
              <w:rPr>
                <w:rFonts w:ascii="Arial" w:hAnsi="Arial"/>
                <w:b w:val="0"/>
                <w:sz w:val="14"/>
              </w:rPr>
              <w:t>0.045343</w:t>
            </w:r>
          </w:p>
        </w:tc>
        <w:tc>
          <w:tcPr>
            <w:tcW w:type="dxa" w:w="987"/>
            <w:vAlign w:val="center"/>
          </w:tcPr>
          <w:p>
            <w:pPr>
              <w:spacing w:after="0"/>
            </w:pPr>
            <w:r/>
            <w:r>
              <w:rPr>
                <w:rFonts w:ascii="Arial" w:hAnsi="Arial"/>
                <w:b w:val="0"/>
                <w:sz w:val="14"/>
              </w:rPr>
              <w:t>4.6667e-05</w:t>
            </w:r>
          </w:p>
        </w:tc>
        <w:tc>
          <w:tcPr>
            <w:tcW w:type="dxa" w:w="987"/>
            <w:vAlign w:val="center"/>
          </w:tcPr>
          <w:p>
            <w:pPr>
              <w:spacing w:after="0"/>
            </w:pPr>
            <w:r/>
            <w:r>
              <w:rPr>
                <w:rFonts w:ascii="Arial" w:hAnsi="Arial"/>
                <w:b w:val="0"/>
                <w:sz w:val="14"/>
              </w:rPr>
              <w:t>-0.00033</w:t>
            </w:r>
          </w:p>
        </w:tc>
        <w:tc>
          <w:tcPr>
            <w:tcW w:type="dxa" w:w="987"/>
            <w:vAlign w:val="center"/>
          </w:tcPr>
          <w:p>
            <w:pPr>
              <w:spacing w:after="0"/>
            </w:pPr>
            <w:r/>
            <w:r>
              <w:rPr>
                <w:rFonts w:ascii="Arial" w:hAnsi="Arial"/>
                <w:b w:val="0"/>
                <w:sz w:val="14"/>
              </w:rPr>
              <w:t>0.0321</w:t>
            </w:r>
          </w:p>
        </w:tc>
        <w:tc>
          <w:tcPr>
            <w:tcW w:type="dxa" w:w="987"/>
            <w:vAlign w:val="center"/>
          </w:tcPr>
          <w:p>
            <w:pPr>
              <w:spacing w:after="0"/>
            </w:pPr>
            <w:r/>
            <w:r>
              <w:rPr>
                <w:rFonts w:ascii="Arial" w:hAnsi="Arial"/>
                <w:b w:val="0"/>
                <w:sz w:val="14"/>
              </w:rPr>
              <w:t>53.51</w:t>
            </w:r>
          </w:p>
        </w:tc>
        <w:tc>
          <w:tcPr>
            <w:tcW w:type="dxa" w:w="987"/>
            <w:vAlign w:val="center"/>
          </w:tcPr>
          <w:p>
            <w:pPr>
              <w:spacing w:after="0"/>
            </w:pPr>
            <w:r/>
            <w:r>
              <w:rPr>
                <w:rFonts w:ascii="Arial" w:hAnsi="Arial"/>
                <w:b w:val="0"/>
                <w:sz w:val="14"/>
              </w:rPr>
              <w:t>43.84</w:t>
            </w:r>
          </w:p>
        </w:tc>
        <w:tc>
          <w:tcPr>
            <w:tcW w:type="dxa" w:w="987"/>
            <w:vAlign w:val="center"/>
          </w:tcPr>
          <w:p>
            <w:pPr>
              <w:spacing w:after="0"/>
            </w:pPr>
            <w:r/>
            <w:r>
              <w:rPr>
                <w:rFonts w:ascii="Arial" w:hAnsi="Arial"/>
                <w:b w:val="0"/>
                <w:sz w:val="14"/>
              </w:rPr>
              <w:t>4.9826e-13</w:t>
            </w:r>
          </w:p>
        </w:tc>
        <w:tc>
          <w:tcPr>
            <w:tcW w:type="dxa" w:w="987"/>
            <w:vAlign w:val="center"/>
          </w:tcPr>
          <w:p>
            <w:pPr>
              <w:spacing w:after="0"/>
            </w:pPr>
            <w:r/>
            <w:r>
              <w:rPr>
                <w:rFonts w:ascii="Arial" w:hAnsi="Arial"/>
                <w:b w:val="0"/>
                <w:sz w:val="14"/>
              </w:rPr>
              <w:t>4.0691e-09</w:t>
            </w:r>
          </w:p>
        </w:tc>
      </w:tr>
      <w:tr>
        <w:trPr>
          <w:cantSplit w:val="true"/>
        </w:trPr>
        <w:tc>
          <w:tcPr>
            <w:tcW w:type="dxa" w:w="987"/>
            <w:vAlign w:val="center"/>
          </w:tcPr>
          <w:p>
            <w:pPr>
              <w:spacing w:after="0"/>
            </w:pPr>
            <w:r/>
            <w:r>
              <w:rPr>
                <w:rFonts w:ascii="Arial" w:hAnsi="Arial"/>
                <w:b w:val="0"/>
                <w:sz w:val="14"/>
              </w:rPr>
              <w:t>30</w:t>
            </w:r>
          </w:p>
        </w:tc>
        <w:tc>
          <w:tcPr>
            <w:tcW w:type="dxa" w:w="987"/>
            <w:vAlign w:val="center"/>
          </w:tcPr>
          <w:p>
            <w:pPr>
              <w:spacing w:after="0"/>
            </w:pPr>
            <w:r/>
            <w:r>
              <w:rPr>
                <w:rFonts w:ascii="Arial" w:hAnsi="Arial"/>
                <w:b w:val="0"/>
                <w:sz w:val="14"/>
              </w:rPr>
              <w:t>868</w:t>
            </w:r>
          </w:p>
        </w:tc>
        <w:tc>
          <w:tcPr>
            <w:tcW w:type="dxa" w:w="987"/>
            <w:vAlign w:val="center"/>
          </w:tcPr>
          <w:p>
            <w:pPr>
              <w:spacing w:after="0"/>
            </w:pPr>
            <w:r/>
            <w:r>
              <w:rPr>
                <w:rFonts w:ascii="Arial" w:hAnsi="Arial"/>
                <w:b w:val="0"/>
                <w:sz w:val="14"/>
              </w:rPr>
              <w:t>0.0017783</w:t>
            </w:r>
          </w:p>
        </w:tc>
        <w:tc>
          <w:tcPr>
            <w:tcW w:type="dxa" w:w="987"/>
            <w:vAlign w:val="center"/>
          </w:tcPr>
          <w:p>
            <w:pPr>
              <w:spacing w:after="0"/>
            </w:pPr>
            <w:r/>
            <w:r>
              <w:rPr>
                <w:rFonts w:ascii="Arial" w:hAnsi="Arial"/>
                <w:b w:val="0"/>
                <w:sz w:val="14"/>
              </w:rPr>
              <w:t>2e-05</w:t>
            </w:r>
          </w:p>
        </w:tc>
        <w:tc>
          <w:tcPr>
            <w:tcW w:type="dxa" w:w="987"/>
            <w:vAlign w:val="center"/>
          </w:tcPr>
          <w:p>
            <w:pPr>
              <w:spacing w:after="0"/>
            </w:pPr>
            <w:r/>
            <w:r>
              <w:rPr>
                <w:rFonts w:ascii="Arial" w:hAnsi="Arial"/>
                <w:b w:val="0"/>
                <w:sz w:val="14"/>
              </w:rPr>
              <w:t>-0.031222</w:t>
            </w:r>
          </w:p>
        </w:tc>
        <w:tc>
          <w:tcPr>
            <w:tcW w:type="dxa" w:w="987"/>
            <w:vAlign w:val="center"/>
          </w:tcPr>
          <w:p>
            <w:pPr>
              <w:spacing w:after="0"/>
            </w:pPr>
            <w:r/>
            <w:r>
              <w:rPr>
                <w:rFonts w:ascii="Arial" w:hAnsi="Arial"/>
                <w:b w:val="0"/>
                <w:sz w:val="14"/>
              </w:rPr>
              <w:t>0.04571</w:t>
            </w:r>
          </w:p>
        </w:tc>
        <w:tc>
          <w:tcPr>
            <w:tcW w:type="dxa" w:w="987"/>
            <w:vAlign w:val="center"/>
          </w:tcPr>
          <w:p>
            <w:pPr>
              <w:spacing w:after="0"/>
            </w:pPr>
            <w:r/>
            <w:r>
              <w:rPr>
                <w:rFonts w:ascii="Arial" w:hAnsi="Arial"/>
                <w:b w:val="0"/>
                <w:sz w:val="14"/>
              </w:rPr>
              <w:t>50.58</w:t>
            </w:r>
          </w:p>
        </w:tc>
        <w:tc>
          <w:tcPr>
            <w:tcW w:type="dxa" w:w="987"/>
            <w:vAlign w:val="center"/>
          </w:tcPr>
          <w:p>
            <w:pPr>
              <w:spacing w:after="0"/>
            </w:pPr>
            <w:r/>
            <w:r>
              <w:rPr>
                <w:rFonts w:ascii="Arial" w:hAnsi="Arial"/>
                <w:b w:val="0"/>
                <w:sz w:val="14"/>
              </w:rPr>
              <w:t>48.04</w:t>
            </w:r>
          </w:p>
        </w:tc>
        <w:tc>
          <w:tcPr>
            <w:tcW w:type="dxa" w:w="987"/>
            <w:vAlign w:val="center"/>
          </w:tcPr>
          <w:p>
            <w:pPr>
              <w:spacing w:after="0"/>
            </w:pPr>
            <w:r/>
            <w:r>
              <w:rPr>
                <w:rFonts w:ascii="Arial" w:hAnsi="Arial"/>
                <w:b w:val="0"/>
                <w:sz w:val="14"/>
              </w:rPr>
              <w:t>0.83248</w:t>
            </w:r>
          </w:p>
        </w:tc>
        <w:tc>
          <w:tcPr>
            <w:tcW w:type="dxa" w:w="987"/>
            <w:vAlign w:val="center"/>
          </w:tcPr>
          <w:p>
            <w:pPr>
              <w:spacing w:after="0"/>
            </w:pPr>
            <w:r/>
            <w:r>
              <w:rPr>
                <w:rFonts w:ascii="Arial" w:hAnsi="Arial"/>
                <w:b w:val="0"/>
                <w:sz w:val="14"/>
              </w:rPr>
              <w:t>0.4811</w:t>
            </w:r>
          </w:p>
        </w:tc>
      </w:tr>
    </w:tbl>
    <w:p>
      <w:pPr>
        <w:spacing w:after="40"/>
      </w:pPr>
    </w:p>
    <w:p>
      <w:pPr>
        <w:keepNext/>
        <w:spacing w:after="60"/>
      </w:pPr>
      <w:r>
        <w:t>More strictly cleaned first-post group:</w:t>
      </w:r>
    </w:p>
    <w:tbl>
      <w:tblPr>
        <w:tblStyle w:val="TableGrid"/>
        <w:tblW w:type="auto" w:w="0"/>
        <w:tblLayout w:type="autofit"/>
        <w:tblLook w:firstColumn="1" w:firstRow="1" w:lastColumn="0" w:lastRow="0" w:noHBand="0" w:noVBand="1" w:val="04A0"/>
      </w:tblPr>
      <w:tblGrid>
        <w:gridCol w:w="1644"/>
        <w:gridCol w:w="1644"/>
        <w:gridCol w:w="1644"/>
        <w:gridCol w:w="1644"/>
        <w:gridCol w:w="1644"/>
        <w:gridCol w:w="1644"/>
      </w:tblGrid>
      <w:tr>
        <w:trPr>
          <w:tblHeader w:val="true"/>
          <w:cantSplit w:val="true"/>
        </w:trPr>
        <w:tc>
          <w:tcPr>
            <w:tcW w:type="dxa" w:w="1644"/>
            <w:vAlign w:val="center"/>
            <w:shd w:fill="D9E6F5"/>
          </w:tcPr>
          <w:p>
            <w:pPr>
              <w:spacing w:after="0"/>
            </w:pPr>
            <w:r/>
            <w:r>
              <w:rPr>
                <w:rFonts w:ascii="Arial" w:hAnsi="Arial"/>
                <w:b/>
                <w:sz w:val="15"/>
              </w:rPr>
              <w:t>Horizon (days)</w:t>
            </w:r>
          </w:p>
        </w:tc>
        <w:tc>
          <w:tcPr>
            <w:tcW w:type="dxa" w:w="1644"/>
            <w:vAlign w:val="center"/>
            <w:shd w:fill="D9E6F5"/>
          </w:tcPr>
          <w:p>
            <w:pPr>
              <w:spacing w:after="0"/>
            </w:pPr>
            <w:r/>
            <w:r>
              <w:rPr>
                <w:rFonts w:ascii="Arial" w:hAnsi="Arial"/>
                <w:b/>
                <w:sz w:val="15"/>
              </w:rPr>
              <w:t>Posted CVEs compared</w:t>
            </w:r>
          </w:p>
        </w:tc>
        <w:tc>
          <w:tcPr>
            <w:tcW w:type="dxa" w:w="1644"/>
            <w:vAlign w:val="center"/>
            <w:shd w:fill="D9E6F5"/>
          </w:tcPr>
          <w:p>
            <w:pPr>
              <w:spacing w:after="0"/>
            </w:pPr>
            <w:r/>
            <w:r>
              <w:rPr>
                <w:rFonts w:ascii="Arial" w:hAnsi="Arial"/>
                <w:b/>
                <w:sz w:val="15"/>
              </w:rPr>
              <w:t>Mean difference from similar CVEs</w:t>
            </w:r>
          </w:p>
        </w:tc>
        <w:tc>
          <w:tcPr>
            <w:tcW w:type="dxa" w:w="1644"/>
            <w:vAlign w:val="center"/>
            <w:shd w:fill="D9E6F5"/>
          </w:tcPr>
          <w:p>
            <w:pPr>
              <w:spacing w:after="0"/>
            </w:pPr>
            <w:r/>
            <w:r>
              <w:rPr>
                <w:rFonts w:ascii="Arial" w:hAnsi="Arial"/>
                <w:b/>
                <w:sz w:val="15"/>
              </w:rPr>
              <w:t>Median difference from similar CVEs</w:t>
            </w:r>
          </w:p>
        </w:tc>
        <w:tc>
          <w:tcPr>
            <w:tcW w:type="dxa" w:w="1644"/>
            <w:vAlign w:val="center"/>
            <w:shd w:fill="D9E6F5"/>
          </w:tcPr>
          <w:p>
            <w:pPr>
              <w:spacing w:after="0"/>
            </w:pPr>
            <w:r/>
            <w:r>
              <w:rPr>
                <w:rFonts w:ascii="Arial" w:hAnsi="Arial"/>
                <w:b/>
                <w:sz w:val="15"/>
              </w:rPr>
              <w:t>Posted CVE rose more (%)</w:t>
            </w:r>
          </w:p>
        </w:tc>
        <w:tc>
          <w:tcPr>
            <w:tcW w:type="dxa" w:w="1644"/>
            <w:vAlign w:val="center"/>
            <w:shd w:fill="D9E6F5"/>
          </w:tcPr>
          <w:p>
            <w:pPr>
              <w:spacing w:after="0"/>
            </w:pPr>
            <w:r/>
            <w:r>
              <w:rPr>
                <w:rFonts w:ascii="Arial" w:hAnsi="Arial"/>
                <w:b/>
                <w:sz w:val="15"/>
              </w:rPr>
              <w:t>Posted CVE rose less (%)</w:t>
            </w:r>
          </w:p>
        </w:tc>
      </w:tr>
      <w:tr>
        <w:trPr>
          <w:cantSplit w:val="true"/>
        </w:trPr>
        <w:tc>
          <w:tcPr>
            <w:tcW w:type="dxa" w:w="1644"/>
            <w:vAlign w:val="center"/>
          </w:tcPr>
          <w:p>
            <w:pPr>
              <w:spacing w:after="0"/>
            </w:pPr>
            <w:r/>
            <w:r>
              <w:rPr>
                <w:rFonts w:ascii="Arial" w:hAnsi="Arial"/>
                <w:b w:val="0"/>
                <w:sz w:val="15"/>
              </w:rPr>
              <w:t>7</w:t>
            </w:r>
          </w:p>
        </w:tc>
        <w:tc>
          <w:tcPr>
            <w:tcW w:type="dxa" w:w="1644"/>
            <w:vAlign w:val="center"/>
          </w:tcPr>
          <w:p>
            <w:pPr>
              <w:spacing w:after="0"/>
            </w:pPr>
            <w:r/>
            <w:r>
              <w:rPr>
                <w:rFonts w:ascii="Arial" w:hAnsi="Arial"/>
                <w:b w:val="0"/>
                <w:sz w:val="15"/>
              </w:rPr>
              <w:t>642</w:t>
            </w:r>
          </w:p>
        </w:tc>
        <w:tc>
          <w:tcPr>
            <w:tcW w:type="dxa" w:w="1644"/>
            <w:vAlign w:val="center"/>
          </w:tcPr>
          <w:p>
            <w:pPr>
              <w:spacing w:after="0"/>
            </w:pPr>
            <w:r/>
            <w:r>
              <w:rPr>
                <w:rFonts w:ascii="Arial" w:hAnsi="Arial"/>
                <w:b w:val="0"/>
                <w:sz w:val="15"/>
              </w:rPr>
              <w:t>0.054634</w:t>
            </w:r>
          </w:p>
        </w:tc>
        <w:tc>
          <w:tcPr>
            <w:tcW w:type="dxa" w:w="1644"/>
            <w:vAlign w:val="center"/>
          </w:tcPr>
          <w:p>
            <w:pPr>
              <w:spacing w:after="0"/>
            </w:pPr>
            <w:r/>
            <w:r>
              <w:rPr>
                <w:rFonts w:ascii="Arial" w:hAnsi="Arial"/>
                <w:b w:val="0"/>
                <w:sz w:val="15"/>
              </w:rPr>
              <w:t>0.0001075</w:t>
            </w:r>
          </w:p>
        </w:tc>
        <w:tc>
          <w:tcPr>
            <w:tcW w:type="dxa" w:w="1644"/>
            <w:vAlign w:val="center"/>
          </w:tcPr>
          <w:p>
            <w:pPr>
              <w:spacing w:after="0"/>
            </w:pPr>
            <w:r/>
            <w:r>
              <w:rPr>
                <w:rFonts w:ascii="Arial" w:hAnsi="Arial"/>
                <w:b w:val="0"/>
                <w:sz w:val="15"/>
              </w:rPr>
              <w:t>56.386</w:t>
            </w:r>
          </w:p>
        </w:tc>
        <w:tc>
          <w:tcPr>
            <w:tcW w:type="dxa" w:w="1644"/>
            <w:vAlign w:val="center"/>
          </w:tcPr>
          <w:p>
            <w:pPr>
              <w:spacing w:after="0"/>
            </w:pPr>
            <w:r/>
            <w:r>
              <w:rPr>
                <w:rFonts w:ascii="Arial" w:hAnsi="Arial"/>
                <w:b w:val="0"/>
                <w:sz w:val="15"/>
              </w:rPr>
              <w:t>41.121</w:t>
            </w:r>
          </w:p>
        </w:tc>
      </w:tr>
      <w:tr>
        <w:trPr>
          <w:cantSplit w:val="true"/>
        </w:trPr>
        <w:tc>
          <w:tcPr>
            <w:tcW w:type="dxa" w:w="1644"/>
            <w:vAlign w:val="center"/>
          </w:tcPr>
          <w:p>
            <w:pPr>
              <w:spacing w:after="0"/>
            </w:pPr>
            <w:r/>
            <w:r>
              <w:rPr>
                <w:rFonts w:ascii="Arial" w:hAnsi="Arial"/>
                <w:b w:val="0"/>
                <w:sz w:val="15"/>
              </w:rPr>
              <w:t>30</w:t>
            </w:r>
          </w:p>
        </w:tc>
        <w:tc>
          <w:tcPr>
            <w:tcW w:type="dxa" w:w="1644"/>
            <w:vAlign w:val="center"/>
          </w:tcPr>
          <w:p>
            <w:pPr>
              <w:spacing w:after="0"/>
            </w:pPr>
            <w:r/>
            <w:r>
              <w:rPr>
                <w:rFonts w:ascii="Arial" w:hAnsi="Arial"/>
                <w:b w:val="0"/>
                <w:sz w:val="15"/>
              </w:rPr>
              <w:t>641</w:t>
            </w:r>
          </w:p>
        </w:tc>
        <w:tc>
          <w:tcPr>
            <w:tcW w:type="dxa" w:w="1644"/>
            <w:vAlign w:val="center"/>
          </w:tcPr>
          <w:p>
            <w:pPr>
              <w:spacing w:after="0"/>
            </w:pPr>
            <w:r/>
            <w:r>
              <w:rPr>
                <w:rFonts w:ascii="Arial" w:hAnsi="Arial"/>
                <w:b w:val="0"/>
                <w:sz w:val="15"/>
              </w:rPr>
              <w:t>-0.0025662</w:t>
            </w:r>
          </w:p>
        </w:tc>
        <w:tc>
          <w:tcPr>
            <w:tcW w:type="dxa" w:w="1644"/>
            <w:vAlign w:val="center"/>
          </w:tcPr>
          <w:p>
            <w:pPr>
              <w:spacing w:after="0"/>
            </w:pPr>
            <w:r/>
            <w:r>
              <w:rPr>
                <w:rFonts w:ascii="Arial" w:hAnsi="Arial"/>
                <w:b w:val="0"/>
                <w:sz w:val="15"/>
              </w:rPr>
              <w:t>9e-05</w:t>
            </w:r>
          </w:p>
        </w:tc>
        <w:tc>
          <w:tcPr>
            <w:tcW w:type="dxa" w:w="1644"/>
            <w:vAlign w:val="center"/>
          </w:tcPr>
          <w:p>
            <w:pPr>
              <w:spacing w:after="0"/>
            </w:pPr>
            <w:r/>
            <w:r>
              <w:rPr>
                <w:rFonts w:ascii="Arial" w:hAnsi="Arial"/>
                <w:b w:val="0"/>
                <w:sz w:val="15"/>
              </w:rPr>
              <w:t>51.014</w:t>
            </w:r>
          </w:p>
        </w:tc>
        <w:tc>
          <w:tcPr>
            <w:tcW w:type="dxa" w:w="1644"/>
            <w:vAlign w:val="center"/>
          </w:tcPr>
          <w:p>
            <w:pPr>
              <w:spacing w:after="0"/>
            </w:pPr>
            <w:r/>
            <w:r>
              <w:rPr>
                <w:rFonts w:ascii="Arial" w:hAnsi="Arial"/>
                <w:b w:val="0"/>
                <w:sz w:val="15"/>
              </w:rPr>
              <w:t>48.05</w:t>
            </w:r>
          </w:p>
        </w:tc>
      </w:tr>
    </w:tbl>
    <w:p>
      <w:pPr>
        <w:spacing w:after="40"/>
      </w:pPr>
    </w:p>
    <w:p>
      <w:pPr>
        <w:spacing w:after="180"/>
      </w:pPr>
      <w:r>
        <w:rPr>
          <w:b/>
        </w:rPr>
        <w:t>Table notes:</w:t>
      </w:r>
      <w:r>
        <w:t xml:space="preserve"> “Posted CVEs compared” is the number of posted CVEs with the scores and similar CVEs needed for the comparison. For each posted CVE, we subtract the comparison CVEs' average EPSS-percentile change from the posted CVE's change. “Mean difference from similar CVEs” is the average of these differences, and “median difference from similar CVEs” is the middle difference. A positive value means the posted CVE rose more than its comparison CVEs; a negative value means it rose less or fell more. “Posted CVE rose more” and “Posted CVE rose less” show how often each result occurred. They may not add to 100% because some posted CVEs changed by the same amount as their comparison CVEs. The more strictly cleaned group keeps first-post text connected to only one CVE and removes general or copied text associated with several CVEs. The 25th and 75th percentiles contain the middle half of the differences. The p-values test whether the differences consistently move away from zero; they do not prove that a post caused an EPSS change.</w:t>
      </w:r>
    </w:p>
    <w:p>
      <w:r>
        <w:t>At seven days, the mean difference from similar CVEs was positive, but the median difference was only 0.000047 and posted CVEs rose more than their comparison CVEs in 53.51% of comparisons. The more strictly cleaned group was somewhat stronger at 56.39%. At 30 days, the all-event tests were not significant and the mean for the more strictly cleaned group was slightly negative. The clearest evidence is therefore a small, short-term association found in part of the sample.</w:t>
      </w:r>
    </w:p>
    <w:p>
      <w:pPr>
        <w:pStyle w:val="Heading1"/>
      </w:pPr>
      <w:r>
        <w:t>16. CISA KEV Outcome</w:t>
      </w:r>
    </w:p>
    <w:tbl>
      <w:tblPr>
        <w:tblStyle w:val="TableGrid"/>
        <w:tblW w:type="auto" w:w="0"/>
        <w:tblLayout w:type="autofit"/>
        <w:tblLook w:firstColumn="1" w:firstRow="1" w:lastColumn="0" w:lastRow="0" w:noHBand="0" w:noVBand="1" w:val="04A0"/>
      </w:tblPr>
      <w:tblGrid>
        <w:gridCol w:w="3289"/>
        <w:gridCol w:w="3289"/>
        <w:gridCol w:w="3289"/>
      </w:tblGrid>
      <w:tr>
        <w:trPr>
          <w:tblHeader w:val="true"/>
          <w:cantSplit w:val="true"/>
        </w:trPr>
        <w:tc>
          <w:tcPr>
            <w:tcW w:type="dxa" w:w="3289"/>
            <w:vAlign w:val="center"/>
            <w:shd w:fill="D9E6F5"/>
          </w:tcPr>
          <w:p>
            <w:pPr>
              <w:spacing w:after="0"/>
            </w:pPr>
            <w:r/>
            <w:r>
              <w:rPr>
                <w:rFonts w:ascii="Arial" w:hAnsi="Arial"/>
                <w:b/>
                <w:sz w:val="17"/>
              </w:rPr>
              <w:t>KEV measure</w:t>
            </w:r>
          </w:p>
        </w:tc>
        <w:tc>
          <w:tcPr>
            <w:tcW w:type="dxa" w:w="3289"/>
            <w:vAlign w:val="center"/>
            <w:shd w:fill="D9E6F5"/>
          </w:tcPr>
          <w:p>
            <w:pPr>
              <w:spacing w:after="0"/>
            </w:pPr>
            <w:r/>
            <w:r>
              <w:rPr>
                <w:rFonts w:ascii="Arial" w:hAnsi="Arial"/>
                <w:b/>
                <w:sz w:val="17"/>
              </w:rPr>
              <w:t>CVE count</w:t>
            </w:r>
          </w:p>
        </w:tc>
        <w:tc>
          <w:tcPr>
            <w:tcW w:type="dxa" w:w="3289"/>
            <w:vAlign w:val="center"/>
            <w:shd w:fill="D9E6F5"/>
          </w:tcPr>
          <w:p>
            <w:pPr>
              <w:spacing w:after="0"/>
            </w:pPr>
            <w:r/>
            <w:r>
              <w:rPr>
                <w:rFonts w:ascii="Arial" w:hAnsi="Arial"/>
                <w:b/>
                <w:sz w:val="17"/>
              </w:rPr>
              <w:t>Share of events (%)</w:t>
            </w:r>
          </w:p>
        </w:tc>
      </w:tr>
      <w:tr>
        <w:trPr>
          <w:cantSplit w:val="true"/>
        </w:trPr>
        <w:tc>
          <w:tcPr>
            <w:tcW w:type="dxa" w:w="3289"/>
            <w:vAlign w:val="center"/>
          </w:tcPr>
          <w:p>
            <w:pPr>
              <w:spacing w:after="0"/>
            </w:pPr>
            <w:r/>
            <w:r>
              <w:rPr>
                <w:rFonts w:ascii="Arial" w:hAnsi="Arial"/>
                <w:b w:val="0"/>
                <w:sz w:val="17"/>
              </w:rPr>
              <w:t>All CVE events</w:t>
            </w:r>
          </w:p>
        </w:tc>
        <w:tc>
          <w:tcPr>
            <w:tcW w:type="dxa" w:w="3289"/>
            <w:vAlign w:val="center"/>
          </w:tcPr>
          <w:p>
            <w:pPr>
              <w:spacing w:after="0"/>
            </w:pPr>
            <w:r/>
            <w:r>
              <w:rPr>
                <w:rFonts w:ascii="Arial" w:hAnsi="Arial"/>
                <w:b w:val="0"/>
                <w:sz w:val="17"/>
              </w:rPr>
              <w:t>4187</w:t>
            </w:r>
          </w:p>
        </w:tc>
        <w:tc>
          <w:tcPr>
            <w:tcW w:type="dxa" w:w="3289"/>
            <w:vAlign w:val="center"/>
          </w:tcPr>
          <w:p>
            <w:pPr>
              <w:spacing w:after="0"/>
            </w:pPr>
            <w:r/>
            <w:r>
              <w:rPr>
                <w:rFonts w:ascii="Arial" w:hAnsi="Arial"/>
                <w:b w:val="0"/>
                <w:sz w:val="17"/>
              </w:rPr>
              <w:t>100</w:t>
            </w:r>
          </w:p>
        </w:tc>
      </w:tr>
      <w:tr>
        <w:trPr>
          <w:cantSplit w:val="true"/>
        </w:trPr>
        <w:tc>
          <w:tcPr>
            <w:tcW w:type="dxa" w:w="3289"/>
            <w:vAlign w:val="center"/>
          </w:tcPr>
          <w:p>
            <w:pPr>
              <w:spacing w:after="0"/>
            </w:pPr>
            <w:r/>
            <w:r>
              <w:rPr>
                <w:rFonts w:ascii="Arial" w:hAnsi="Arial"/>
                <w:b w:val="0"/>
                <w:sz w:val="17"/>
              </w:rPr>
              <w:t>Ever listed in CISA KEV</w:t>
            </w:r>
          </w:p>
        </w:tc>
        <w:tc>
          <w:tcPr>
            <w:tcW w:type="dxa" w:w="3289"/>
            <w:vAlign w:val="center"/>
          </w:tcPr>
          <w:p>
            <w:pPr>
              <w:spacing w:after="0"/>
            </w:pPr>
            <w:r/>
            <w:r>
              <w:rPr>
                <w:rFonts w:ascii="Arial" w:hAnsi="Arial"/>
                <w:b w:val="0"/>
                <w:sz w:val="17"/>
              </w:rPr>
              <w:t>284</w:t>
            </w:r>
          </w:p>
        </w:tc>
        <w:tc>
          <w:tcPr>
            <w:tcW w:type="dxa" w:w="3289"/>
            <w:vAlign w:val="center"/>
          </w:tcPr>
          <w:p>
            <w:pPr>
              <w:spacing w:after="0"/>
            </w:pPr>
            <w:r/>
            <w:r>
              <w:rPr>
                <w:rFonts w:ascii="Arial" w:hAnsi="Arial"/>
                <w:b w:val="0"/>
                <w:sz w:val="17"/>
              </w:rPr>
              <w:t>6.78</w:t>
            </w:r>
          </w:p>
        </w:tc>
      </w:tr>
      <w:tr>
        <w:trPr>
          <w:cantSplit w:val="true"/>
        </w:trPr>
        <w:tc>
          <w:tcPr>
            <w:tcW w:type="dxa" w:w="3289"/>
            <w:vAlign w:val="center"/>
          </w:tcPr>
          <w:p>
            <w:pPr>
              <w:spacing w:after="0"/>
            </w:pPr>
            <w:r/>
            <w:r>
              <w:rPr>
                <w:rFonts w:ascii="Arial" w:hAnsi="Arial"/>
                <w:b w:val="0"/>
                <w:sz w:val="17"/>
              </w:rPr>
              <w:t>Added to KEV on or after the event</w:t>
            </w:r>
          </w:p>
        </w:tc>
        <w:tc>
          <w:tcPr>
            <w:tcW w:type="dxa" w:w="3289"/>
            <w:vAlign w:val="center"/>
          </w:tcPr>
          <w:p>
            <w:pPr>
              <w:spacing w:after="0"/>
            </w:pPr>
            <w:r/>
            <w:r>
              <w:rPr>
                <w:rFonts w:ascii="Arial" w:hAnsi="Arial"/>
                <w:b w:val="0"/>
                <w:sz w:val="17"/>
              </w:rPr>
              <w:t>119</w:t>
            </w:r>
          </w:p>
        </w:tc>
        <w:tc>
          <w:tcPr>
            <w:tcW w:type="dxa" w:w="3289"/>
            <w:vAlign w:val="center"/>
          </w:tcPr>
          <w:p>
            <w:pPr>
              <w:spacing w:after="0"/>
            </w:pPr>
            <w:r/>
            <w:r>
              <w:rPr>
                <w:rFonts w:ascii="Arial" w:hAnsi="Arial"/>
                <w:b w:val="0"/>
                <w:sz w:val="17"/>
              </w:rPr>
              <w:t>2.84</w:t>
            </w:r>
          </w:p>
        </w:tc>
      </w:tr>
      <w:tr>
        <w:trPr>
          <w:cantSplit w:val="true"/>
        </w:trPr>
        <w:tc>
          <w:tcPr>
            <w:tcW w:type="dxa" w:w="3289"/>
            <w:vAlign w:val="center"/>
          </w:tcPr>
          <w:p>
            <w:pPr>
              <w:spacing w:after="0"/>
            </w:pPr>
            <w:r/>
            <w:r>
              <w:rPr>
                <w:rFonts w:ascii="Arial" w:hAnsi="Arial"/>
                <w:b w:val="0"/>
                <w:sz w:val="17"/>
              </w:rPr>
              <w:t>Added to KEV within 90 days</w:t>
            </w:r>
          </w:p>
        </w:tc>
        <w:tc>
          <w:tcPr>
            <w:tcW w:type="dxa" w:w="3289"/>
            <w:vAlign w:val="center"/>
          </w:tcPr>
          <w:p>
            <w:pPr>
              <w:spacing w:after="0"/>
            </w:pPr>
            <w:r/>
            <w:r>
              <w:rPr>
                <w:rFonts w:ascii="Arial" w:hAnsi="Arial"/>
                <w:b w:val="0"/>
                <w:sz w:val="17"/>
              </w:rPr>
              <w:t>102</w:t>
            </w:r>
          </w:p>
        </w:tc>
        <w:tc>
          <w:tcPr>
            <w:tcW w:type="dxa" w:w="3289"/>
            <w:vAlign w:val="center"/>
          </w:tcPr>
          <w:p>
            <w:pPr>
              <w:spacing w:after="0"/>
            </w:pPr>
            <w:r/>
            <w:r>
              <w:rPr>
                <w:rFonts w:ascii="Arial" w:hAnsi="Arial"/>
                <w:b w:val="0"/>
                <w:sz w:val="17"/>
              </w:rPr>
              <w:t>2.44</w:t>
            </w:r>
          </w:p>
        </w:tc>
      </w:tr>
    </w:tbl>
    <w:p>
      <w:pPr>
        <w:spacing w:after="40"/>
      </w:pPr>
    </w:p>
    <w:p>
      <w:pPr>
        <w:spacing w:after="180"/>
      </w:pPr>
      <w:r>
        <w:rPr>
          <w:b/>
        </w:rPr>
        <w:t>Table notes:</w:t>
      </w:r>
      <w:r>
        <w:t xml:space="preserve"> CISA KEV is the US Cybersecurity and Infrastructure Security Agency's catalog of vulnerabilities with evidence of real-world exploitation. It is used here as an external confirmation that exploitation was known, rather than as another EPSS score. The table starts with all 4,187 first-post events and then shows smaller groups:</w:t>
      </w:r>
    </w:p>
    <w:p>
      <w:pPr>
        <w:pStyle w:val="ListBullet"/>
        <w:spacing w:after="60"/>
      </w:pPr>
      <w:r>
        <w:rPr>
          <w:b/>
        </w:rPr>
        <w:t>All CVE events (4,187; 100%):</w:t>
      </w:r>
      <w:r>
        <w:t xml:space="preserve"> Every unique CVE event included in this study.</w:t>
      </w:r>
    </w:p>
    <w:p>
      <w:pPr>
        <w:pStyle w:val="ListBullet"/>
        <w:spacing w:after="60"/>
      </w:pPr>
      <w:r>
        <w:rPr>
          <w:b/>
        </w:rPr>
        <w:t>Ever listed in CISA KEV (284; 6.78%):</w:t>
      </w:r>
      <w:r>
        <w:t xml:space="preserve"> CVEs found in the downloaded KEV catalog, whether CISA added them before or after the first captured post.</w:t>
      </w:r>
    </w:p>
    <w:p>
      <w:pPr>
        <w:pStyle w:val="ListBullet"/>
        <w:spacing w:after="60"/>
      </w:pPr>
      <w:r>
        <w:rPr>
          <w:b/>
        </w:rPr>
        <w:t>Added to KEV on or after the event (119; 2.84%):</w:t>
      </w:r>
      <w:r>
        <w:t xml:space="preserve"> CVEs whose CISA catalog date was the same as or later than the first captured post. This removes CVEs already listed before the event.</w:t>
      </w:r>
    </w:p>
    <w:p>
      <w:pPr>
        <w:pStyle w:val="ListBullet"/>
        <w:spacing w:after="60"/>
      </w:pPr>
      <w:r>
        <w:rPr>
          <w:b/>
        </w:rPr>
        <w:t>Added to KEV within 90 days (102; 2.44%):</w:t>
      </w:r>
      <w:r>
        <w:t xml:space="preserve"> CVEs added from the event date through day 90. These 102 are part of the 119 above, which are themselves part of the 284 ever listed.</w:t>
      </w:r>
    </w:p>
    <w:p>
      <w:r>
        <w:t xml:space="preserve">“CVE count” is the number in each group. “Share of events” divides that count by 4,187 and converts it to a percentage. For example, if 5 out of 100 study CVEs were added to KEV within 90 days, the CVE count would be 5 and the share would be 5%. The CISA </w:t>
      </w:r>
      <w:r>
        <w:rPr>
          <w:rFonts w:ascii="Courier New" w:hAnsi="Courier New"/>
          <w:sz w:val="18"/>
        </w:rPr>
        <w:t>dateAdded</w:t>
      </w:r>
      <w:r>
        <w:t xml:space="preserve"> value is the catalog-entry date, not necessarily the first day attackers exploited the vulnerability; exploitation may have started earlier.</w:t>
      </w:r>
    </w:p>
    <w:p>
      <w:r>
        <w:t>KEV provides an outcome outside EPSS, but only 102 events were added within 90 days. That small positive class makes precision-recall performance and uncertainty especially important.</w:t>
      </w:r>
    </w:p>
    <w:p>
      <w:pPr>
        <w:pStyle w:val="Heading1"/>
      </w:pPr>
      <w:r>
        <w:t>17. Exploratory Predictive Results</w:t>
      </w:r>
    </w:p>
    <w:tbl>
      <w:tblPr>
        <w:tblStyle w:val="TableGrid"/>
        <w:tblW w:type="auto" w:w="0"/>
        <w:tblLayout w:type="autofit"/>
        <w:tblLook w:firstColumn="1" w:firstRow="1" w:lastColumn="0" w:lastRow="0" w:noHBand="0" w:noVBand="1" w:val="04A0"/>
      </w:tblPr>
      <w:tblGrid>
        <w:gridCol w:w="1233"/>
        <w:gridCol w:w="1233"/>
        <w:gridCol w:w="1233"/>
        <w:gridCol w:w="1233"/>
        <w:gridCol w:w="1233"/>
        <w:gridCol w:w="1233"/>
        <w:gridCol w:w="1233"/>
        <w:gridCol w:w="1233"/>
      </w:tblGrid>
      <w:tr>
        <w:trPr>
          <w:tblHeader w:val="true"/>
          <w:cantSplit w:val="true"/>
        </w:trPr>
        <w:tc>
          <w:tcPr>
            <w:tcW w:type="dxa" w:w="1233"/>
            <w:vAlign w:val="center"/>
            <w:shd w:fill="D9E6F5"/>
          </w:tcPr>
          <w:p>
            <w:pPr>
              <w:spacing w:after="0"/>
            </w:pPr>
            <w:r/>
            <w:r>
              <w:rPr>
                <w:rFonts w:ascii="Arial" w:hAnsi="Arial"/>
                <w:b/>
                <w:sz w:val="14"/>
              </w:rPr>
              <w:t>Prediction target</w:t>
            </w:r>
          </w:p>
        </w:tc>
        <w:tc>
          <w:tcPr>
            <w:tcW w:type="dxa" w:w="1233"/>
            <w:vAlign w:val="center"/>
            <w:shd w:fill="D9E6F5"/>
          </w:tcPr>
          <w:p>
            <w:pPr>
              <w:spacing w:after="0"/>
            </w:pPr>
            <w:r/>
            <w:r>
              <w:rPr>
                <w:rFonts w:ascii="Arial" w:hAnsi="Arial"/>
                <w:b/>
                <w:sz w:val="14"/>
              </w:rPr>
              <w:t>Predictor set</w:t>
            </w:r>
          </w:p>
        </w:tc>
        <w:tc>
          <w:tcPr>
            <w:tcW w:type="dxa" w:w="1233"/>
            <w:vAlign w:val="center"/>
            <w:shd w:fill="D9E6F5"/>
          </w:tcPr>
          <w:p>
            <w:pPr>
              <w:spacing w:after="0"/>
            </w:pPr>
            <w:r/>
            <w:r>
              <w:rPr>
                <w:rFonts w:ascii="Arial" w:hAnsi="Arial"/>
                <w:b/>
                <w:sz w:val="14"/>
              </w:rPr>
              <w:t>CVEs</w:t>
            </w:r>
          </w:p>
        </w:tc>
        <w:tc>
          <w:tcPr>
            <w:tcW w:type="dxa" w:w="1233"/>
            <w:vAlign w:val="center"/>
            <w:shd w:fill="D9E6F5"/>
          </w:tcPr>
          <w:p>
            <w:pPr>
              <w:spacing w:after="0"/>
            </w:pPr>
            <w:r/>
            <w:r>
              <w:rPr>
                <w:rFonts w:ascii="Arial" w:hAnsi="Arial"/>
                <w:b/>
                <w:sz w:val="14"/>
              </w:rPr>
              <w:t>Positive outcome share</w:t>
            </w:r>
          </w:p>
        </w:tc>
        <w:tc>
          <w:tcPr>
            <w:tcW w:type="dxa" w:w="1233"/>
            <w:vAlign w:val="center"/>
            <w:shd w:fill="D9E6F5"/>
          </w:tcPr>
          <w:p>
            <w:pPr>
              <w:spacing w:after="0"/>
            </w:pPr>
            <w:r/>
            <w:r>
              <w:rPr>
                <w:rFonts w:ascii="Arial" w:hAnsi="Arial"/>
                <w:b/>
                <w:sz w:val="14"/>
              </w:rPr>
              <w:t>Mean ROC-AUC</w:t>
            </w:r>
          </w:p>
        </w:tc>
        <w:tc>
          <w:tcPr>
            <w:tcW w:type="dxa" w:w="1233"/>
            <w:vAlign w:val="center"/>
            <w:shd w:fill="D9E6F5"/>
          </w:tcPr>
          <w:p>
            <w:pPr>
              <w:spacing w:after="0"/>
            </w:pPr>
            <w:r/>
            <w:r>
              <w:rPr>
                <w:rFonts w:ascii="Arial" w:hAnsi="Arial"/>
                <w:b/>
                <w:sz w:val="14"/>
              </w:rPr>
              <w:t>ROC-AUC standard deviation</w:t>
            </w:r>
          </w:p>
        </w:tc>
        <w:tc>
          <w:tcPr>
            <w:tcW w:type="dxa" w:w="1233"/>
            <w:vAlign w:val="center"/>
            <w:shd w:fill="D9E6F5"/>
          </w:tcPr>
          <w:p>
            <w:pPr>
              <w:spacing w:after="0"/>
            </w:pPr>
            <w:r/>
            <w:r>
              <w:rPr>
                <w:rFonts w:ascii="Arial" w:hAnsi="Arial"/>
                <w:b/>
                <w:sz w:val="14"/>
              </w:rPr>
              <w:t>Mean PR-AUC</w:t>
            </w:r>
          </w:p>
        </w:tc>
        <w:tc>
          <w:tcPr>
            <w:tcW w:type="dxa" w:w="1233"/>
            <w:vAlign w:val="center"/>
            <w:shd w:fill="D9E6F5"/>
          </w:tcPr>
          <w:p>
            <w:pPr>
              <w:spacing w:after="0"/>
            </w:pPr>
            <w:r/>
            <w:r>
              <w:rPr>
                <w:rFonts w:ascii="Arial" w:hAnsi="Arial"/>
                <w:b/>
                <w:sz w:val="14"/>
              </w:rPr>
              <w:t>PR-AUC standard deviation</w:t>
            </w:r>
          </w:p>
        </w:tc>
      </w:tr>
      <w:tr>
        <w:trPr>
          <w:cantSplit w:val="true"/>
        </w:trPr>
        <w:tc>
          <w:tcPr>
            <w:tcW w:type="dxa" w:w="1233"/>
            <w:vAlign w:val="center"/>
          </w:tcPr>
          <w:p>
            <w:pPr>
              <w:spacing w:after="0"/>
            </w:pPr>
            <w:r/>
            <w:r>
              <w:rPr>
                <w:rFonts w:ascii="Arial" w:hAnsi="Arial"/>
                <w:b w:val="0"/>
                <w:sz w:val="14"/>
              </w:rPr>
              <w:t>EPSS percentile increased by day 7</w:t>
            </w:r>
          </w:p>
        </w:tc>
        <w:tc>
          <w:tcPr>
            <w:tcW w:type="dxa" w:w="1233"/>
            <w:vAlign w:val="center"/>
          </w:tcPr>
          <w:p>
            <w:pPr>
              <w:spacing w:after="0"/>
            </w:pPr>
            <w:r/>
            <w:r>
              <w:rPr>
                <w:rFonts w:ascii="Arial" w:hAnsi="Arial"/>
                <w:b w:val="0"/>
                <w:sz w:val="14"/>
              </w:rPr>
              <w:t>CVSS only</w:t>
            </w:r>
          </w:p>
        </w:tc>
        <w:tc>
          <w:tcPr>
            <w:tcW w:type="dxa" w:w="1233"/>
            <w:vAlign w:val="center"/>
          </w:tcPr>
          <w:p>
            <w:pPr>
              <w:spacing w:after="0"/>
            </w:pPr>
            <w:r/>
            <w:r>
              <w:rPr>
                <w:rFonts w:ascii="Arial" w:hAnsi="Arial"/>
                <w:b w:val="0"/>
                <w:sz w:val="14"/>
              </w:rPr>
              <w:t>4116</w:t>
            </w:r>
          </w:p>
        </w:tc>
        <w:tc>
          <w:tcPr>
            <w:tcW w:type="dxa" w:w="1233"/>
            <w:vAlign w:val="center"/>
          </w:tcPr>
          <w:p>
            <w:pPr>
              <w:spacing w:after="0"/>
            </w:pPr>
            <w:r/>
            <w:r>
              <w:rPr>
                <w:rFonts w:ascii="Arial" w:hAnsi="Arial"/>
                <w:b w:val="0"/>
                <w:sz w:val="14"/>
              </w:rPr>
              <w:t>0.81438</w:t>
            </w:r>
          </w:p>
        </w:tc>
        <w:tc>
          <w:tcPr>
            <w:tcW w:type="dxa" w:w="1233"/>
            <w:vAlign w:val="center"/>
          </w:tcPr>
          <w:p>
            <w:pPr>
              <w:spacing w:after="0"/>
            </w:pPr>
            <w:r/>
            <w:r>
              <w:rPr>
                <w:rFonts w:ascii="Arial" w:hAnsi="Arial"/>
                <w:b w:val="0"/>
                <w:sz w:val="14"/>
              </w:rPr>
              <w:t>0.57703</w:t>
            </w:r>
          </w:p>
        </w:tc>
        <w:tc>
          <w:tcPr>
            <w:tcW w:type="dxa" w:w="1233"/>
            <w:vAlign w:val="center"/>
          </w:tcPr>
          <w:p>
            <w:pPr>
              <w:spacing w:after="0"/>
            </w:pPr>
            <w:r/>
            <w:r>
              <w:rPr>
                <w:rFonts w:ascii="Arial" w:hAnsi="Arial"/>
                <w:b w:val="0"/>
                <w:sz w:val="14"/>
              </w:rPr>
              <w:t>0.018383</w:t>
            </w:r>
          </w:p>
        </w:tc>
        <w:tc>
          <w:tcPr>
            <w:tcW w:type="dxa" w:w="1233"/>
            <w:vAlign w:val="center"/>
          </w:tcPr>
          <w:p>
            <w:pPr>
              <w:spacing w:after="0"/>
            </w:pPr>
            <w:r/>
            <w:r>
              <w:rPr>
                <w:rFonts w:ascii="Arial" w:hAnsi="Arial"/>
                <w:b w:val="0"/>
                <w:sz w:val="14"/>
              </w:rPr>
              <w:t>0.84318</w:t>
            </w:r>
          </w:p>
        </w:tc>
        <w:tc>
          <w:tcPr>
            <w:tcW w:type="dxa" w:w="1233"/>
            <w:vAlign w:val="center"/>
          </w:tcPr>
          <w:p>
            <w:pPr>
              <w:spacing w:after="0"/>
            </w:pPr>
            <w:r/>
            <w:r>
              <w:rPr>
                <w:rFonts w:ascii="Arial" w:hAnsi="Arial"/>
                <w:b w:val="0"/>
                <w:sz w:val="14"/>
              </w:rPr>
              <w:t>0.010889</w:t>
            </w:r>
          </w:p>
        </w:tc>
      </w:tr>
      <w:tr>
        <w:trPr>
          <w:cantSplit w:val="true"/>
        </w:trPr>
        <w:tc>
          <w:tcPr>
            <w:tcW w:type="dxa" w:w="1233"/>
            <w:vAlign w:val="center"/>
          </w:tcPr>
          <w:p>
            <w:pPr>
              <w:spacing w:after="0"/>
            </w:pPr>
            <w:r/>
            <w:r>
              <w:rPr>
                <w:rFonts w:ascii="Arial" w:hAnsi="Arial"/>
                <w:b w:val="0"/>
                <w:sz w:val="14"/>
              </w:rPr>
              <w:t>EPSS percentile increased by day 7</w:t>
            </w:r>
          </w:p>
        </w:tc>
        <w:tc>
          <w:tcPr>
            <w:tcW w:type="dxa" w:w="1233"/>
            <w:vAlign w:val="center"/>
          </w:tcPr>
          <w:p>
            <w:pPr>
              <w:spacing w:after="0"/>
            </w:pPr>
            <w:r/>
            <w:r>
              <w:rPr>
                <w:rFonts w:ascii="Arial" w:hAnsi="Arial"/>
                <w:b w:val="0"/>
                <w:sz w:val="14"/>
              </w:rPr>
              <w:t>CVSS plus baseline EPSS</w:t>
            </w:r>
          </w:p>
        </w:tc>
        <w:tc>
          <w:tcPr>
            <w:tcW w:type="dxa" w:w="1233"/>
            <w:vAlign w:val="center"/>
          </w:tcPr>
          <w:p>
            <w:pPr>
              <w:spacing w:after="0"/>
            </w:pPr>
            <w:r/>
            <w:r>
              <w:rPr>
                <w:rFonts w:ascii="Arial" w:hAnsi="Arial"/>
                <w:b w:val="0"/>
                <w:sz w:val="14"/>
              </w:rPr>
              <w:t>4116</w:t>
            </w:r>
          </w:p>
        </w:tc>
        <w:tc>
          <w:tcPr>
            <w:tcW w:type="dxa" w:w="1233"/>
            <w:vAlign w:val="center"/>
          </w:tcPr>
          <w:p>
            <w:pPr>
              <w:spacing w:after="0"/>
            </w:pPr>
            <w:r/>
            <w:r>
              <w:rPr>
                <w:rFonts w:ascii="Arial" w:hAnsi="Arial"/>
                <w:b w:val="0"/>
                <w:sz w:val="14"/>
              </w:rPr>
              <w:t>0.81438</w:t>
            </w:r>
          </w:p>
        </w:tc>
        <w:tc>
          <w:tcPr>
            <w:tcW w:type="dxa" w:w="1233"/>
            <w:vAlign w:val="center"/>
          </w:tcPr>
          <w:p>
            <w:pPr>
              <w:spacing w:after="0"/>
            </w:pPr>
            <w:r/>
            <w:r>
              <w:rPr>
                <w:rFonts w:ascii="Arial" w:hAnsi="Arial"/>
                <w:b w:val="0"/>
                <w:sz w:val="14"/>
              </w:rPr>
              <w:t>0.66141</w:t>
            </w:r>
          </w:p>
        </w:tc>
        <w:tc>
          <w:tcPr>
            <w:tcW w:type="dxa" w:w="1233"/>
            <w:vAlign w:val="center"/>
          </w:tcPr>
          <w:p>
            <w:pPr>
              <w:spacing w:after="0"/>
            </w:pPr>
            <w:r/>
            <w:r>
              <w:rPr>
                <w:rFonts w:ascii="Arial" w:hAnsi="Arial"/>
                <w:b w:val="0"/>
                <w:sz w:val="14"/>
              </w:rPr>
              <w:t>0.014423</w:t>
            </w:r>
          </w:p>
        </w:tc>
        <w:tc>
          <w:tcPr>
            <w:tcW w:type="dxa" w:w="1233"/>
            <w:vAlign w:val="center"/>
          </w:tcPr>
          <w:p>
            <w:pPr>
              <w:spacing w:after="0"/>
            </w:pPr>
            <w:r/>
            <w:r>
              <w:rPr>
                <w:rFonts w:ascii="Arial" w:hAnsi="Arial"/>
                <w:b w:val="0"/>
                <w:sz w:val="14"/>
              </w:rPr>
              <w:t>0.889</w:t>
            </w:r>
          </w:p>
        </w:tc>
        <w:tc>
          <w:tcPr>
            <w:tcW w:type="dxa" w:w="1233"/>
            <w:vAlign w:val="center"/>
          </w:tcPr>
          <w:p>
            <w:pPr>
              <w:spacing w:after="0"/>
            </w:pPr>
            <w:r/>
            <w:r>
              <w:rPr>
                <w:rFonts w:ascii="Arial" w:hAnsi="Arial"/>
                <w:b w:val="0"/>
                <w:sz w:val="14"/>
              </w:rPr>
              <w:t>0.0084572</w:t>
            </w:r>
          </w:p>
        </w:tc>
      </w:tr>
      <w:tr>
        <w:trPr>
          <w:cantSplit w:val="true"/>
        </w:trPr>
        <w:tc>
          <w:tcPr>
            <w:tcW w:type="dxa" w:w="1233"/>
            <w:vAlign w:val="center"/>
          </w:tcPr>
          <w:p>
            <w:pPr>
              <w:spacing w:after="0"/>
            </w:pPr>
            <w:r/>
            <w:r>
              <w:rPr>
                <w:rFonts w:ascii="Arial" w:hAnsi="Arial"/>
                <w:b w:val="0"/>
                <w:sz w:val="14"/>
              </w:rPr>
              <w:t>EPSS percentile increased by day 7</w:t>
            </w:r>
          </w:p>
        </w:tc>
        <w:tc>
          <w:tcPr>
            <w:tcW w:type="dxa" w:w="1233"/>
            <w:vAlign w:val="center"/>
          </w:tcPr>
          <w:p>
            <w:pPr>
              <w:spacing w:after="0"/>
            </w:pPr>
            <w:r/>
            <w:r>
              <w:rPr>
                <w:rFonts w:ascii="Arial" w:hAnsi="Arial"/>
                <w:b w:val="0"/>
                <w:sz w:val="14"/>
              </w:rPr>
              <w:t>Plus source and attention features</w:t>
            </w:r>
          </w:p>
        </w:tc>
        <w:tc>
          <w:tcPr>
            <w:tcW w:type="dxa" w:w="1233"/>
            <w:vAlign w:val="center"/>
          </w:tcPr>
          <w:p>
            <w:pPr>
              <w:spacing w:after="0"/>
            </w:pPr>
            <w:r/>
            <w:r>
              <w:rPr>
                <w:rFonts w:ascii="Arial" w:hAnsi="Arial"/>
                <w:b w:val="0"/>
                <w:sz w:val="14"/>
              </w:rPr>
              <w:t>4116</w:t>
            </w:r>
          </w:p>
        </w:tc>
        <w:tc>
          <w:tcPr>
            <w:tcW w:type="dxa" w:w="1233"/>
            <w:vAlign w:val="center"/>
          </w:tcPr>
          <w:p>
            <w:pPr>
              <w:spacing w:after="0"/>
            </w:pPr>
            <w:r/>
            <w:r>
              <w:rPr>
                <w:rFonts w:ascii="Arial" w:hAnsi="Arial"/>
                <w:b w:val="0"/>
                <w:sz w:val="14"/>
              </w:rPr>
              <w:t>0.81438</w:t>
            </w:r>
          </w:p>
        </w:tc>
        <w:tc>
          <w:tcPr>
            <w:tcW w:type="dxa" w:w="1233"/>
            <w:vAlign w:val="center"/>
          </w:tcPr>
          <w:p>
            <w:pPr>
              <w:spacing w:after="0"/>
            </w:pPr>
            <w:r/>
            <w:r>
              <w:rPr>
                <w:rFonts w:ascii="Arial" w:hAnsi="Arial"/>
                <w:b w:val="0"/>
                <w:sz w:val="14"/>
              </w:rPr>
              <w:t>0.71239</w:t>
            </w:r>
          </w:p>
        </w:tc>
        <w:tc>
          <w:tcPr>
            <w:tcW w:type="dxa" w:w="1233"/>
            <w:vAlign w:val="center"/>
          </w:tcPr>
          <w:p>
            <w:pPr>
              <w:spacing w:after="0"/>
            </w:pPr>
            <w:r/>
            <w:r>
              <w:rPr>
                <w:rFonts w:ascii="Arial" w:hAnsi="Arial"/>
                <w:b w:val="0"/>
                <w:sz w:val="14"/>
              </w:rPr>
              <w:t>0.0089329</w:t>
            </w:r>
          </w:p>
        </w:tc>
        <w:tc>
          <w:tcPr>
            <w:tcW w:type="dxa" w:w="1233"/>
            <w:vAlign w:val="center"/>
          </w:tcPr>
          <w:p>
            <w:pPr>
              <w:spacing w:after="0"/>
            </w:pPr>
            <w:r/>
            <w:r>
              <w:rPr>
                <w:rFonts w:ascii="Arial" w:hAnsi="Arial"/>
                <w:b w:val="0"/>
                <w:sz w:val="14"/>
              </w:rPr>
              <w:t>0.90468</w:t>
            </w:r>
          </w:p>
        </w:tc>
        <w:tc>
          <w:tcPr>
            <w:tcW w:type="dxa" w:w="1233"/>
            <w:vAlign w:val="center"/>
          </w:tcPr>
          <w:p>
            <w:pPr>
              <w:spacing w:after="0"/>
            </w:pPr>
            <w:r/>
            <w:r>
              <w:rPr>
                <w:rFonts w:ascii="Arial" w:hAnsi="Arial"/>
                <w:b w:val="0"/>
                <w:sz w:val="14"/>
              </w:rPr>
              <w:t>0.0058811</w:t>
            </w:r>
          </w:p>
        </w:tc>
      </w:tr>
      <w:tr>
        <w:trPr>
          <w:cantSplit w:val="true"/>
        </w:trPr>
        <w:tc>
          <w:tcPr>
            <w:tcW w:type="dxa" w:w="1233"/>
            <w:vAlign w:val="center"/>
          </w:tcPr>
          <w:p>
            <w:pPr>
              <w:spacing w:after="0"/>
            </w:pPr>
            <w:r/>
            <w:r>
              <w:rPr>
                <w:rFonts w:ascii="Arial" w:hAnsi="Arial"/>
                <w:b w:val="0"/>
                <w:sz w:val="14"/>
              </w:rPr>
              <w:t>EPSS percentile increased by day 30</w:t>
            </w:r>
          </w:p>
        </w:tc>
        <w:tc>
          <w:tcPr>
            <w:tcW w:type="dxa" w:w="1233"/>
            <w:vAlign w:val="center"/>
          </w:tcPr>
          <w:p>
            <w:pPr>
              <w:spacing w:after="0"/>
            </w:pPr>
            <w:r/>
            <w:r>
              <w:rPr>
                <w:rFonts w:ascii="Arial" w:hAnsi="Arial"/>
                <w:b w:val="0"/>
                <w:sz w:val="14"/>
              </w:rPr>
              <w:t>CVSS only</w:t>
            </w:r>
          </w:p>
        </w:tc>
        <w:tc>
          <w:tcPr>
            <w:tcW w:type="dxa" w:w="1233"/>
            <w:vAlign w:val="center"/>
          </w:tcPr>
          <w:p>
            <w:pPr>
              <w:spacing w:after="0"/>
            </w:pPr>
            <w:r/>
            <w:r>
              <w:rPr>
                <w:rFonts w:ascii="Arial" w:hAnsi="Arial"/>
                <w:b w:val="0"/>
                <w:sz w:val="14"/>
              </w:rPr>
              <w:t>4116</w:t>
            </w:r>
          </w:p>
        </w:tc>
        <w:tc>
          <w:tcPr>
            <w:tcW w:type="dxa" w:w="1233"/>
            <w:vAlign w:val="center"/>
          </w:tcPr>
          <w:p>
            <w:pPr>
              <w:spacing w:after="0"/>
            </w:pPr>
            <w:r/>
            <w:r>
              <w:rPr>
                <w:rFonts w:ascii="Arial" w:hAnsi="Arial"/>
                <w:b w:val="0"/>
                <w:sz w:val="14"/>
              </w:rPr>
              <w:t>0.83358</w:t>
            </w:r>
          </w:p>
        </w:tc>
        <w:tc>
          <w:tcPr>
            <w:tcW w:type="dxa" w:w="1233"/>
            <w:vAlign w:val="center"/>
          </w:tcPr>
          <w:p>
            <w:pPr>
              <w:spacing w:after="0"/>
            </w:pPr>
            <w:r/>
            <w:r>
              <w:rPr>
                <w:rFonts w:ascii="Arial" w:hAnsi="Arial"/>
                <w:b w:val="0"/>
                <w:sz w:val="14"/>
              </w:rPr>
              <w:t>0.60981</w:t>
            </w:r>
          </w:p>
        </w:tc>
        <w:tc>
          <w:tcPr>
            <w:tcW w:type="dxa" w:w="1233"/>
            <w:vAlign w:val="center"/>
          </w:tcPr>
          <w:p>
            <w:pPr>
              <w:spacing w:after="0"/>
            </w:pPr>
            <w:r/>
            <w:r>
              <w:rPr>
                <w:rFonts w:ascii="Arial" w:hAnsi="Arial"/>
                <w:b w:val="0"/>
                <w:sz w:val="14"/>
              </w:rPr>
              <w:t>0.010586</w:t>
            </w:r>
          </w:p>
        </w:tc>
        <w:tc>
          <w:tcPr>
            <w:tcW w:type="dxa" w:w="1233"/>
            <w:vAlign w:val="center"/>
          </w:tcPr>
          <w:p>
            <w:pPr>
              <w:spacing w:after="0"/>
            </w:pPr>
            <w:r/>
            <w:r>
              <w:rPr>
                <w:rFonts w:ascii="Arial" w:hAnsi="Arial"/>
                <w:b w:val="0"/>
                <w:sz w:val="14"/>
              </w:rPr>
              <w:t>0.87213</w:t>
            </w:r>
          </w:p>
        </w:tc>
        <w:tc>
          <w:tcPr>
            <w:tcW w:type="dxa" w:w="1233"/>
            <w:vAlign w:val="center"/>
          </w:tcPr>
          <w:p>
            <w:pPr>
              <w:spacing w:after="0"/>
            </w:pPr>
            <w:r/>
            <w:r>
              <w:rPr>
                <w:rFonts w:ascii="Arial" w:hAnsi="Arial"/>
                <w:b w:val="0"/>
                <w:sz w:val="14"/>
              </w:rPr>
              <w:t>0.0010864</w:t>
            </w:r>
          </w:p>
        </w:tc>
      </w:tr>
      <w:tr>
        <w:trPr>
          <w:cantSplit w:val="true"/>
        </w:trPr>
        <w:tc>
          <w:tcPr>
            <w:tcW w:type="dxa" w:w="1233"/>
            <w:vAlign w:val="center"/>
          </w:tcPr>
          <w:p>
            <w:pPr>
              <w:spacing w:after="0"/>
            </w:pPr>
            <w:r/>
            <w:r>
              <w:rPr>
                <w:rFonts w:ascii="Arial" w:hAnsi="Arial"/>
                <w:b w:val="0"/>
                <w:sz w:val="14"/>
              </w:rPr>
              <w:t>EPSS percentile increased by day 30</w:t>
            </w:r>
          </w:p>
        </w:tc>
        <w:tc>
          <w:tcPr>
            <w:tcW w:type="dxa" w:w="1233"/>
            <w:vAlign w:val="center"/>
          </w:tcPr>
          <w:p>
            <w:pPr>
              <w:spacing w:after="0"/>
            </w:pPr>
            <w:r/>
            <w:r>
              <w:rPr>
                <w:rFonts w:ascii="Arial" w:hAnsi="Arial"/>
                <w:b w:val="0"/>
                <w:sz w:val="14"/>
              </w:rPr>
              <w:t>CVSS plus baseline EPSS</w:t>
            </w:r>
          </w:p>
        </w:tc>
        <w:tc>
          <w:tcPr>
            <w:tcW w:type="dxa" w:w="1233"/>
            <w:vAlign w:val="center"/>
          </w:tcPr>
          <w:p>
            <w:pPr>
              <w:spacing w:after="0"/>
            </w:pPr>
            <w:r/>
            <w:r>
              <w:rPr>
                <w:rFonts w:ascii="Arial" w:hAnsi="Arial"/>
                <w:b w:val="0"/>
                <w:sz w:val="14"/>
              </w:rPr>
              <w:t>4116</w:t>
            </w:r>
          </w:p>
        </w:tc>
        <w:tc>
          <w:tcPr>
            <w:tcW w:type="dxa" w:w="1233"/>
            <w:vAlign w:val="center"/>
          </w:tcPr>
          <w:p>
            <w:pPr>
              <w:spacing w:after="0"/>
            </w:pPr>
            <w:r/>
            <w:r>
              <w:rPr>
                <w:rFonts w:ascii="Arial" w:hAnsi="Arial"/>
                <w:b w:val="0"/>
                <w:sz w:val="14"/>
              </w:rPr>
              <w:t>0.83358</w:t>
            </w:r>
          </w:p>
        </w:tc>
        <w:tc>
          <w:tcPr>
            <w:tcW w:type="dxa" w:w="1233"/>
            <w:vAlign w:val="center"/>
          </w:tcPr>
          <w:p>
            <w:pPr>
              <w:spacing w:after="0"/>
            </w:pPr>
            <w:r/>
            <w:r>
              <w:rPr>
                <w:rFonts w:ascii="Arial" w:hAnsi="Arial"/>
                <w:b w:val="0"/>
                <w:sz w:val="14"/>
              </w:rPr>
              <w:t>0.71257</w:t>
            </w:r>
          </w:p>
        </w:tc>
        <w:tc>
          <w:tcPr>
            <w:tcW w:type="dxa" w:w="1233"/>
            <w:vAlign w:val="center"/>
          </w:tcPr>
          <w:p>
            <w:pPr>
              <w:spacing w:after="0"/>
            </w:pPr>
            <w:r/>
            <w:r>
              <w:rPr>
                <w:rFonts w:ascii="Arial" w:hAnsi="Arial"/>
                <w:b w:val="0"/>
                <w:sz w:val="14"/>
              </w:rPr>
              <w:t>0.014979</w:t>
            </w:r>
          </w:p>
        </w:tc>
        <w:tc>
          <w:tcPr>
            <w:tcW w:type="dxa" w:w="1233"/>
            <w:vAlign w:val="center"/>
          </w:tcPr>
          <w:p>
            <w:pPr>
              <w:spacing w:after="0"/>
            </w:pPr>
            <w:r/>
            <w:r>
              <w:rPr>
                <w:rFonts w:ascii="Arial" w:hAnsi="Arial"/>
                <w:b w:val="0"/>
                <w:sz w:val="14"/>
              </w:rPr>
              <w:t>0.92001</w:t>
            </w:r>
          </w:p>
        </w:tc>
        <w:tc>
          <w:tcPr>
            <w:tcW w:type="dxa" w:w="1233"/>
            <w:vAlign w:val="center"/>
          </w:tcPr>
          <w:p>
            <w:pPr>
              <w:spacing w:after="0"/>
            </w:pPr>
            <w:r/>
            <w:r>
              <w:rPr>
                <w:rFonts w:ascii="Arial" w:hAnsi="Arial"/>
                <w:b w:val="0"/>
                <w:sz w:val="14"/>
              </w:rPr>
              <w:t>0.0062109</w:t>
            </w:r>
          </w:p>
        </w:tc>
      </w:tr>
      <w:tr>
        <w:trPr>
          <w:cantSplit w:val="true"/>
        </w:trPr>
        <w:tc>
          <w:tcPr>
            <w:tcW w:type="dxa" w:w="1233"/>
            <w:vAlign w:val="center"/>
          </w:tcPr>
          <w:p>
            <w:pPr>
              <w:spacing w:after="0"/>
            </w:pPr>
            <w:r/>
            <w:r>
              <w:rPr>
                <w:rFonts w:ascii="Arial" w:hAnsi="Arial"/>
                <w:b w:val="0"/>
                <w:sz w:val="14"/>
              </w:rPr>
              <w:t>EPSS percentile increased by day 30</w:t>
            </w:r>
          </w:p>
        </w:tc>
        <w:tc>
          <w:tcPr>
            <w:tcW w:type="dxa" w:w="1233"/>
            <w:vAlign w:val="center"/>
          </w:tcPr>
          <w:p>
            <w:pPr>
              <w:spacing w:after="0"/>
            </w:pPr>
            <w:r/>
            <w:r>
              <w:rPr>
                <w:rFonts w:ascii="Arial" w:hAnsi="Arial"/>
                <w:b w:val="0"/>
                <w:sz w:val="14"/>
              </w:rPr>
              <w:t>Plus source and attention features</w:t>
            </w:r>
          </w:p>
        </w:tc>
        <w:tc>
          <w:tcPr>
            <w:tcW w:type="dxa" w:w="1233"/>
            <w:vAlign w:val="center"/>
          </w:tcPr>
          <w:p>
            <w:pPr>
              <w:spacing w:after="0"/>
            </w:pPr>
            <w:r/>
            <w:r>
              <w:rPr>
                <w:rFonts w:ascii="Arial" w:hAnsi="Arial"/>
                <w:b w:val="0"/>
                <w:sz w:val="14"/>
              </w:rPr>
              <w:t>4116</w:t>
            </w:r>
          </w:p>
        </w:tc>
        <w:tc>
          <w:tcPr>
            <w:tcW w:type="dxa" w:w="1233"/>
            <w:vAlign w:val="center"/>
          </w:tcPr>
          <w:p>
            <w:pPr>
              <w:spacing w:after="0"/>
            </w:pPr>
            <w:r/>
            <w:r>
              <w:rPr>
                <w:rFonts w:ascii="Arial" w:hAnsi="Arial"/>
                <w:b w:val="0"/>
                <w:sz w:val="14"/>
              </w:rPr>
              <w:t>0.83358</w:t>
            </w:r>
          </w:p>
        </w:tc>
        <w:tc>
          <w:tcPr>
            <w:tcW w:type="dxa" w:w="1233"/>
            <w:vAlign w:val="center"/>
          </w:tcPr>
          <w:p>
            <w:pPr>
              <w:spacing w:after="0"/>
            </w:pPr>
            <w:r/>
            <w:r>
              <w:rPr>
                <w:rFonts w:ascii="Arial" w:hAnsi="Arial"/>
                <w:b w:val="0"/>
                <w:sz w:val="14"/>
              </w:rPr>
              <w:t>0.74662</w:t>
            </w:r>
          </w:p>
        </w:tc>
        <w:tc>
          <w:tcPr>
            <w:tcW w:type="dxa" w:w="1233"/>
            <w:vAlign w:val="center"/>
          </w:tcPr>
          <w:p>
            <w:pPr>
              <w:spacing w:after="0"/>
            </w:pPr>
            <w:r/>
            <w:r>
              <w:rPr>
                <w:rFonts w:ascii="Arial" w:hAnsi="Arial"/>
                <w:b w:val="0"/>
                <w:sz w:val="14"/>
              </w:rPr>
              <w:t>0.021445</w:t>
            </w:r>
          </w:p>
        </w:tc>
        <w:tc>
          <w:tcPr>
            <w:tcW w:type="dxa" w:w="1233"/>
            <w:vAlign w:val="center"/>
          </w:tcPr>
          <w:p>
            <w:pPr>
              <w:spacing w:after="0"/>
            </w:pPr>
            <w:r/>
            <w:r>
              <w:rPr>
                <w:rFonts w:ascii="Arial" w:hAnsi="Arial"/>
                <w:b w:val="0"/>
                <w:sz w:val="14"/>
              </w:rPr>
              <w:t>0.9329</w:t>
            </w:r>
          </w:p>
        </w:tc>
        <w:tc>
          <w:tcPr>
            <w:tcW w:type="dxa" w:w="1233"/>
            <w:vAlign w:val="center"/>
          </w:tcPr>
          <w:p>
            <w:pPr>
              <w:spacing w:after="0"/>
            </w:pPr>
            <w:r/>
            <w:r>
              <w:rPr>
                <w:rFonts w:ascii="Arial" w:hAnsi="Arial"/>
                <w:b w:val="0"/>
                <w:sz w:val="14"/>
              </w:rPr>
              <w:t>0.0091467</w:t>
            </w:r>
          </w:p>
        </w:tc>
      </w:tr>
      <w:tr>
        <w:trPr>
          <w:cantSplit w:val="true"/>
        </w:trPr>
        <w:tc>
          <w:tcPr>
            <w:tcW w:type="dxa" w:w="1233"/>
            <w:vAlign w:val="center"/>
          </w:tcPr>
          <w:p>
            <w:pPr>
              <w:spacing w:after="0"/>
            </w:pPr>
            <w:r/>
            <w:r>
              <w:rPr>
                <w:rFonts w:ascii="Arial" w:hAnsi="Arial"/>
                <w:b w:val="0"/>
                <w:sz w:val="14"/>
              </w:rPr>
              <w:t>Added to CISA KEV within 90 days</w:t>
            </w:r>
          </w:p>
        </w:tc>
        <w:tc>
          <w:tcPr>
            <w:tcW w:type="dxa" w:w="1233"/>
            <w:vAlign w:val="center"/>
          </w:tcPr>
          <w:p>
            <w:pPr>
              <w:spacing w:after="0"/>
            </w:pPr>
            <w:r/>
            <w:r>
              <w:rPr>
                <w:rFonts w:ascii="Arial" w:hAnsi="Arial"/>
                <w:b w:val="0"/>
                <w:sz w:val="14"/>
              </w:rPr>
              <w:t>CVSS only</w:t>
            </w:r>
          </w:p>
        </w:tc>
        <w:tc>
          <w:tcPr>
            <w:tcW w:type="dxa" w:w="1233"/>
            <w:vAlign w:val="center"/>
          </w:tcPr>
          <w:p>
            <w:pPr>
              <w:spacing w:after="0"/>
            </w:pPr>
            <w:r/>
            <w:r>
              <w:rPr>
                <w:rFonts w:ascii="Arial" w:hAnsi="Arial"/>
                <w:b w:val="0"/>
                <w:sz w:val="14"/>
              </w:rPr>
              <w:t>4116</w:t>
            </w:r>
          </w:p>
        </w:tc>
        <w:tc>
          <w:tcPr>
            <w:tcW w:type="dxa" w:w="1233"/>
            <w:vAlign w:val="center"/>
          </w:tcPr>
          <w:p>
            <w:pPr>
              <w:spacing w:after="0"/>
            </w:pPr>
            <w:r/>
            <w:r>
              <w:rPr>
                <w:rFonts w:ascii="Arial" w:hAnsi="Arial"/>
                <w:b w:val="0"/>
                <w:sz w:val="14"/>
              </w:rPr>
              <w:t>0.023567</w:t>
            </w:r>
          </w:p>
        </w:tc>
        <w:tc>
          <w:tcPr>
            <w:tcW w:type="dxa" w:w="1233"/>
            <w:vAlign w:val="center"/>
          </w:tcPr>
          <w:p>
            <w:pPr>
              <w:spacing w:after="0"/>
            </w:pPr>
            <w:r/>
            <w:r>
              <w:rPr>
                <w:rFonts w:ascii="Arial" w:hAnsi="Arial"/>
                <w:b w:val="0"/>
                <w:sz w:val="14"/>
              </w:rPr>
              <w:t>0.62114</w:t>
            </w:r>
          </w:p>
        </w:tc>
        <w:tc>
          <w:tcPr>
            <w:tcW w:type="dxa" w:w="1233"/>
            <w:vAlign w:val="center"/>
          </w:tcPr>
          <w:p>
            <w:pPr>
              <w:spacing w:after="0"/>
            </w:pPr>
            <w:r/>
            <w:r>
              <w:rPr>
                <w:rFonts w:ascii="Arial" w:hAnsi="Arial"/>
                <w:b w:val="0"/>
                <w:sz w:val="14"/>
              </w:rPr>
              <w:t>0.056396</w:t>
            </w:r>
          </w:p>
        </w:tc>
        <w:tc>
          <w:tcPr>
            <w:tcW w:type="dxa" w:w="1233"/>
            <w:vAlign w:val="center"/>
          </w:tcPr>
          <w:p>
            <w:pPr>
              <w:spacing w:after="0"/>
            </w:pPr>
            <w:r/>
            <w:r>
              <w:rPr>
                <w:rFonts w:ascii="Arial" w:hAnsi="Arial"/>
                <w:b w:val="0"/>
                <w:sz w:val="14"/>
              </w:rPr>
              <w:t>0.041009</w:t>
            </w:r>
          </w:p>
        </w:tc>
        <w:tc>
          <w:tcPr>
            <w:tcW w:type="dxa" w:w="1233"/>
            <w:vAlign w:val="center"/>
          </w:tcPr>
          <w:p>
            <w:pPr>
              <w:spacing w:after="0"/>
            </w:pPr>
            <w:r/>
            <w:r>
              <w:rPr>
                <w:rFonts w:ascii="Arial" w:hAnsi="Arial"/>
                <w:b w:val="0"/>
                <w:sz w:val="14"/>
              </w:rPr>
              <w:t>0.0063279</w:t>
            </w:r>
          </w:p>
        </w:tc>
      </w:tr>
      <w:tr>
        <w:trPr>
          <w:cantSplit w:val="true"/>
        </w:trPr>
        <w:tc>
          <w:tcPr>
            <w:tcW w:type="dxa" w:w="1233"/>
            <w:vAlign w:val="center"/>
          </w:tcPr>
          <w:p>
            <w:pPr>
              <w:spacing w:after="0"/>
            </w:pPr>
            <w:r/>
            <w:r>
              <w:rPr>
                <w:rFonts w:ascii="Arial" w:hAnsi="Arial"/>
                <w:b w:val="0"/>
                <w:sz w:val="14"/>
              </w:rPr>
              <w:t>Added to CISA KEV within 90 days</w:t>
            </w:r>
          </w:p>
        </w:tc>
        <w:tc>
          <w:tcPr>
            <w:tcW w:type="dxa" w:w="1233"/>
            <w:vAlign w:val="center"/>
          </w:tcPr>
          <w:p>
            <w:pPr>
              <w:spacing w:after="0"/>
            </w:pPr>
            <w:r/>
            <w:r>
              <w:rPr>
                <w:rFonts w:ascii="Arial" w:hAnsi="Arial"/>
                <w:b w:val="0"/>
                <w:sz w:val="14"/>
              </w:rPr>
              <w:t>CVSS plus baseline EPSS</w:t>
            </w:r>
          </w:p>
        </w:tc>
        <w:tc>
          <w:tcPr>
            <w:tcW w:type="dxa" w:w="1233"/>
            <w:vAlign w:val="center"/>
          </w:tcPr>
          <w:p>
            <w:pPr>
              <w:spacing w:after="0"/>
            </w:pPr>
            <w:r/>
            <w:r>
              <w:rPr>
                <w:rFonts w:ascii="Arial" w:hAnsi="Arial"/>
                <w:b w:val="0"/>
                <w:sz w:val="14"/>
              </w:rPr>
              <w:t>4116</w:t>
            </w:r>
          </w:p>
        </w:tc>
        <w:tc>
          <w:tcPr>
            <w:tcW w:type="dxa" w:w="1233"/>
            <w:vAlign w:val="center"/>
          </w:tcPr>
          <w:p>
            <w:pPr>
              <w:spacing w:after="0"/>
            </w:pPr>
            <w:r/>
            <w:r>
              <w:rPr>
                <w:rFonts w:ascii="Arial" w:hAnsi="Arial"/>
                <w:b w:val="0"/>
                <w:sz w:val="14"/>
              </w:rPr>
              <w:t>0.023567</w:t>
            </w:r>
          </w:p>
        </w:tc>
        <w:tc>
          <w:tcPr>
            <w:tcW w:type="dxa" w:w="1233"/>
            <w:vAlign w:val="center"/>
          </w:tcPr>
          <w:p>
            <w:pPr>
              <w:spacing w:after="0"/>
            </w:pPr>
            <w:r/>
            <w:r>
              <w:rPr>
                <w:rFonts w:ascii="Arial" w:hAnsi="Arial"/>
                <w:b w:val="0"/>
                <w:sz w:val="14"/>
              </w:rPr>
              <w:t>0.67369</w:t>
            </w:r>
          </w:p>
        </w:tc>
        <w:tc>
          <w:tcPr>
            <w:tcW w:type="dxa" w:w="1233"/>
            <w:vAlign w:val="center"/>
          </w:tcPr>
          <w:p>
            <w:pPr>
              <w:spacing w:after="0"/>
            </w:pPr>
            <w:r/>
            <w:r>
              <w:rPr>
                <w:rFonts w:ascii="Arial" w:hAnsi="Arial"/>
                <w:b w:val="0"/>
                <w:sz w:val="14"/>
              </w:rPr>
              <w:t>0.061344</w:t>
            </w:r>
          </w:p>
        </w:tc>
        <w:tc>
          <w:tcPr>
            <w:tcW w:type="dxa" w:w="1233"/>
            <w:vAlign w:val="center"/>
          </w:tcPr>
          <w:p>
            <w:pPr>
              <w:spacing w:after="0"/>
            </w:pPr>
            <w:r/>
            <w:r>
              <w:rPr>
                <w:rFonts w:ascii="Arial" w:hAnsi="Arial"/>
                <w:b w:val="0"/>
                <w:sz w:val="14"/>
              </w:rPr>
              <w:t>0.07912</w:t>
            </w:r>
          </w:p>
        </w:tc>
        <w:tc>
          <w:tcPr>
            <w:tcW w:type="dxa" w:w="1233"/>
            <w:vAlign w:val="center"/>
          </w:tcPr>
          <w:p>
            <w:pPr>
              <w:spacing w:after="0"/>
            </w:pPr>
            <w:r/>
            <w:r>
              <w:rPr>
                <w:rFonts w:ascii="Arial" w:hAnsi="Arial"/>
                <w:b w:val="0"/>
                <w:sz w:val="14"/>
              </w:rPr>
              <w:t>0.019098</w:t>
            </w:r>
          </w:p>
        </w:tc>
      </w:tr>
      <w:tr>
        <w:trPr>
          <w:cantSplit w:val="true"/>
        </w:trPr>
        <w:tc>
          <w:tcPr>
            <w:tcW w:type="dxa" w:w="1233"/>
            <w:vAlign w:val="center"/>
          </w:tcPr>
          <w:p>
            <w:pPr>
              <w:spacing w:after="0"/>
            </w:pPr>
            <w:r/>
            <w:r>
              <w:rPr>
                <w:rFonts w:ascii="Arial" w:hAnsi="Arial"/>
                <w:b w:val="0"/>
                <w:sz w:val="14"/>
              </w:rPr>
              <w:t>Added to CISA KEV within 90 days</w:t>
            </w:r>
          </w:p>
        </w:tc>
        <w:tc>
          <w:tcPr>
            <w:tcW w:type="dxa" w:w="1233"/>
            <w:vAlign w:val="center"/>
          </w:tcPr>
          <w:p>
            <w:pPr>
              <w:spacing w:after="0"/>
            </w:pPr>
            <w:r/>
            <w:r>
              <w:rPr>
                <w:rFonts w:ascii="Arial" w:hAnsi="Arial"/>
                <w:b w:val="0"/>
                <w:sz w:val="14"/>
              </w:rPr>
              <w:t>Plus source and attention features</w:t>
            </w:r>
          </w:p>
        </w:tc>
        <w:tc>
          <w:tcPr>
            <w:tcW w:type="dxa" w:w="1233"/>
            <w:vAlign w:val="center"/>
          </w:tcPr>
          <w:p>
            <w:pPr>
              <w:spacing w:after="0"/>
            </w:pPr>
            <w:r/>
            <w:r>
              <w:rPr>
                <w:rFonts w:ascii="Arial" w:hAnsi="Arial"/>
                <w:b w:val="0"/>
                <w:sz w:val="14"/>
              </w:rPr>
              <w:t>4116</w:t>
            </w:r>
          </w:p>
        </w:tc>
        <w:tc>
          <w:tcPr>
            <w:tcW w:type="dxa" w:w="1233"/>
            <w:vAlign w:val="center"/>
          </w:tcPr>
          <w:p>
            <w:pPr>
              <w:spacing w:after="0"/>
            </w:pPr>
            <w:r/>
            <w:r>
              <w:rPr>
                <w:rFonts w:ascii="Arial" w:hAnsi="Arial"/>
                <w:b w:val="0"/>
                <w:sz w:val="14"/>
              </w:rPr>
              <w:t>0.023567</w:t>
            </w:r>
          </w:p>
        </w:tc>
        <w:tc>
          <w:tcPr>
            <w:tcW w:type="dxa" w:w="1233"/>
            <w:vAlign w:val="center"/>
          </w:tcPr>
          <w:p>
            <w:pPr>
              <w:spacing w:after="0"/>
            </w:pPr>
            <w:r/>
            <w:r>
              <w:rPr>
                <w:rFonts w:ascii="Arial" w:hAnsi="Arial"/>
                <w:b w:val="0"/>
                <w:sz w:val="14"/>
              </w:rPr>
              <w:t>0.92554</w:t>
            </w:r>
          </w:p>
        </w:tc>
        <w:tc>
          <w:tcPr>
            <w:tcW w:type="dxa" w:w="1233"/>
            <w:vAlign w:val="center"/>
          </w:tcPr>
          <w:p>
            <w:pPr>
              <w:spacing w:after="0"/>
            </w:pPr>
            <w:r/>
            <w:r>
              <w:rPr>
                <w:rFonts w:ascii="Arial" w:hAnsi="Arial"/>
                <w:b w:val="0"/>
                <w:sz w:val="14"/>
              </w:rPr>
              <w:t>0.035879</w:t>
            </w:r>
          </w:p>
        </w:tc>
        <w:tc>
          <w:tcPr>
            <w:tcW w:type="dxa" w:w="1233"/>
            <w:vAlign w:val="center"/>
          </w:tcPr>
          <w:p>
            <w:pPr>
              <w:spacing w:after="0"/>
            </w:pPr>
            <w:r/>
            <w:r>
              <w:rPr>
                <w:rFonts w:ascii="Arial" w:hAnsi="Arial"/>
                <w:b w:val="0"/>
                <w:sz w:val="14"/>
              </w:rPr>
              <w:t>0.5236</w:t>
            </w:r>
          </w:p>
        </w:tc>
        <w:tc>
          <w:tcPr>
            <w:tcW w:type="dxa" w:w="1233"/>
            <w:vAlign w:val="center"/>
          </w:tcPr>
          <w:p>
            <w:pPr>
              <w:spacing w:after="0"/>
            </w:pPr>
            <w:r/>
            <w:r>
              <w:rPr>
                <w:rFonts w:ascii="Arial" w:hAnsi="Arial"/>
                <w:b w:val="0"/>
                <w:sz w:val="14"/>
              </w:rPr>
              <w:t>0.073085</w:t>
            </w:r>
          </w:p>
        </w:tc>
      </w:tr>
    </w:tbl>
    <w:p>
      <w:pPr>
        <w:spacing w:after="40"/>
      </w:pPr>
    </w:p>
    <w:p>
      <w:pPr>
        <w:spacing w:after="180"/>
      </w:pPr>
      <w:r>
        <w:rPr>
          <w:b/>
        </w:rPr>
        <w:t>Table notes:</w:t>
      </w:r>
      <w:r>
        <w:t xml:space="preserve"> “Prediction target” is the result the model tries to predict. “Predictor set” is the information given to it. “Positive outcome share” is how often the result actually occurred. ROC-AUC shows how well the model ranks positive cases above negative ones: 0.5 is similar to chance and 1.0 is perfect. PR-AUC focuses more strongly on correctly finding the uncommon positive cases. Standard deviation shows how much performance changed across repeated validation groups.</w:t>
      </w:r>
    </w:p>
    <w:p>
      <w:r>
        <w:t xml:space="preserve">The larger AUC values are exploratory, not a clean deployment estimate. The source-and-attention predictor set includes post totals and source counts calculated across the full corpus, so some information may occur after the event. It also includes </w:t>
      </w:r>
      <w:r>
        <w:rPr>
          <w:rFonts w:ascii="Courier New" w:hAnsi="Courier New"/>
          <w:sz w:val="18"/>
        </w:rPr>
        <w:t>epss_status</w:t>
      </w:r>
      <w:r>
        <w:t>, which is related to how scores were collected. In addition, the validation folds were random rather than chronological. The 0.9255 KEV ROC-AUC should therefore not be presented as proven real-time performance.</w:t>
      </w:r>
    </w:p>
    <w:p>
      <w:pPr>
        <w:pStyle w:val="Heading1"/>
      </w:pPr>
      <w:r>
        <w:t>18. Final Interpretation</w:t>
      </w:r>
    </w:p>
    <w:p>
      <w:r>
        <w:t>The analysis found a small, short-term relationship between social-media attention and changes in EPSS. During the seven days after the first captured post, the posted CVEs showed a slightly greater increase in EPSS percentile, on average, than their selected comparison CVEs. However, the difference for a typical CVE was very small, and only a modest majority of posted CVEs increased more than the similar CVEs. After 30 days, there was no clear evidence that this difference continued.</w:t>
      </w:r>
    </w:p>
    <w:p>
      <w:r>
        <w:t>These findings do not prove that social-media posts caused EPSS to increase or caused vulnerabilities to be exploited. A vulnerability may have been discussed because its risk was already increasing, while the same developing threat information may also have influenced EPSS. Social-media attention should therefore be treated as a possible early-warning signal, not as a cause of exploitation. It is most useful when considered together with baseline EPSS, CVSS severity, the source of the post, and confirmed evidence of real-world exploitation.</w:t>
      </w:r>
    </w:p>
    <w:p>
      <w:pPr>
        <w:pStyle w:val="Heading1"/>
      </w:pPr>
      <w:r>
        <w:t>19. Verification Appendix</w:t>
      </w:r>
    </w:p>
    <w:tbl>
      <w:tblPr>
        <w:tblStyle w:val="TableGrid"/>
        <w:tblW w:type="auto" w:w="0"/>
        <w:tblLayout w:type="autofit"/>
        <w:tblLook w:firstColumn="1" w:firstRow="1" w:lastColumn="0" w:lastRow="0" w:noHBand="0" w:noVBand="1" w:val="04A0"/>
      </w:tblPr>
      <w:tblGrid>
        <w:gridCol w:w="3289"/>
        <w:gridCol w:w="3289"/>
        <w:gridCol w:w="3289"/>
      </w:tblGrid>
      <w:tr>
        <w:trPr>
          <w:tblHeader w:val="true"/>
          <w:cantSplit w:val="true"/>
        </w:trPr>
        <w:tc>
          <w:tcPr>
            <w:tcW w:type="dxa" w:w="3289"/>
            <w:vAlign w:val="center"/>
            <w:shd w:fill="D9E6F5"/>
          </w:tcPr>
          <w:p>
            <w:pPr>
              <w:spacing w:after="0"/>
            </w:pPr>
            <w:r/>
            <w:r>
              <w:rPr>
                <w:rFonts w:ascii="Arial" w:hAnsi="Arial"/>
                <w:b/>
                <w:sz w:val="17"/>
              </w:rPr>
              <w:t>Verification check</w:t>
            </w:r>
          </w:p>
        </w:tc>
        <w:tc>
          <w:tcPr>
            <w:tcW w:type="dxa" w:w="3289"/>
            <w:vAlign w:val="center"/>
            <w:shd w:fill="D9E6F5"/>
          </w:tcPr>
          <w:p>
            <w:pPr>
              <w:spacing w:after="0"/>
            </w:pPr>
            <w:r/>
            <w:r>
              <w:rPr>
                <w:rFonts w:ascii="Arial" w:hAnsi="Arial"/>
                <w:b/>
                <w:sz w:val="17"/>
              </w:rPr>
              <w:t>Passed</w:t>
            </w:r>
          </w:p>
        </w:tc>
        <w:tc>
          <w:tcPr>
            <w:tcW w:type="dxa" w:w="3289"/>
            <w:vAlign w:val="center"/>
            <w:shd w:fill="D9E6F5"/>
          </w:tcPr>
          <w:p>
            <w:pPr>
              <w:spacing w:after="0"/>
            </w:pPr>
            <w:r/>
            <w:r>
              <w:rPr>
                <w:rFonts w:ascii="Arial" w:hAnsi="Arial"/>
                <w:b/>
                <w:sz w:val="17"/>
              </w:rPr>
              <w:t>Local source file</w:t>
            </w:r>
          </w:p>
        </w:tc>
      </w:tr>
      <w:tr>
        <w:trPr>
          <w:cantSplit w:val="true"/>
        </w:trPr>
        <w:tc>
          <w:tcPr>
            <w:tcW w:type="dxa" w:w="3289"/>
            <w:vAlign w:val="center"/>
          </w:tcPr>
          <w:p>
            <w:pPr>
              <w:spacing w:after="0"/>
            </w:pPr>
            <w:r/>
            <w:r>
              <w:rPr>
                <w:rFonts w:ascii="Arial" w:hAnsi="Arial"/>
                <w:b w:val="0"/>
                <w:sz w:val="17"/>
              </w:rPr>
              <w:t>Three input files have 9,218 rows and 28 columns</w:t>
            </w:r>
          </w:p>
        </w:tc>
        <w:tc>
          <w:tcPr>
            <w:tcW w:type="dxa" w:w="3289"/>
            <w:vAlign w:val="center"/>
          </w:tcPr>
          <w:p>
            <w:pPr>
              <w:spacing w:after="0"/>
            </w:pPr>
            <w:r/>
            <w:r>
              <w:rPr>
                <w:rFonts w:ascii="Arial" w:hAnsi="Arial"/>
                <w:b w:val="0"/>
                <w:sz w:val="17"/>
              </w:rPr>
              <w:t>True</w:t>
            </w:r>
          </w:p>
        </w:tc>
        <w:tc>
          <w:tcPr>
            <w:tcW w:type="dxa" w:w="3289"/>
            <w:vAlign w:val="center"/>
          </w:tcPr>
          <w:p>
            <w:pPr>
              <w:spacing w:after="0"/>
            </w:pPr>
            <w:r/>
            <w:r>
              <w:rPr>
                <w:rFonts w:ascii="Arial" w:hAnsi="Arial"/>
                <w:b w:val="0"/>
                <w:sz w:val="17"/>
              </w:rPr>
              <w:t>model_inventory.csv</w:t>
            </w:r>
          </w:p>
        </w:tc>
      </w:tr>
      <w:tr>
        <w:trPr>
          <w:cantSplit w:val="true"/>
        </w:trPr>
        <w:tc>
          <w:tcPr>
            <w:tcW w:type="dxa" w:w="3289"/>
            <w:vAlign w:val="center"/>
          </w:tcPr>
          <w:p>
            <w:pPr>
              <w:spacing w:after="0"/>
            </w:pPr>
            <w:r/>
            <w:r>
              <w:rPr>
                <w:rFonts w:ascii="Arial" w:hAnsi="Arial"/>
                <w:b w:val="0"/>
                <w:sz w:val="17"/>
              </w:rPr>
              <w:t>Independent CSV row counts agree</w:t>
            </w:r>
          </w:p>
        </w:tc>
        <w:tc>
          <w:tcPr>
            <w:tcW w:type="dxa" w:w="3289"/>
            <w:vAlign w:val="center"/>
          </w:tcPr>
          <w:p>
            <w:pPr>
              <w:spacing w:after="0"/>
            </w:pPr>
            <w:r/>
            <w:r>
              <w:rPr>
                <w:rFonts w:ascii="Arial" w:hAnsi="Arial"/>
                <w:b w:val="0"/>
                <w:sz w:val="17"/>
              </w:rPr>
              <w:t>True</w:t>
            </w:r>
          </w:p>
        </w:tc>
        <w:tc>
          <w:tcPr>
            <w:tcW w:type="dxa" w:w="3289"/>
            <w:vAlign w:val="center"/>
          </w:tcPr>
          <w:p>
            <w:pPr>
              <w:spacing w:after="0"/>
            </w:pPr>
            <w:r/>
            <w:r>
              <w:rPr>
                <w:rFonts w:ascii="Arial" w:hAnsi="Arial"/>
                <w:b w:val="0"/>
                <w:sz w:val="17"/>
              </w:rPr>
              <w:t>model_inventory.csv</w:t>
            </w:r>
          </w:p>
        </w:tc>
      </w:tr>
      <w:tr>
        <w:trPr>
          <w:cantSplit w:val="true"/>
        </w:trPr>
        <w:tc>
          <w:tcPr>
            <w:tcW w:type="dxa" w:w="3289"/>
            <w:vAlign w:val="center"/>
          </w:tcPr>
          <w:p>
            <w:pPr>
              <w:spacing w:after="0"/>
            </w:pPr>
            <w:r/>
            <w:r>
              <w:rPr>
                <w:rFonts w:ascii="Arial" w:hAnsi="Arial"/>
                <w:b w:val="0"/>
                <w:sz w:val="17"/>
              </w:rPr>
              <w:t>Every parsed source record has exactly 28 columns</w:t>
            </w:r>
          </w:p>
        </w:tc>
        <w:tc>
          <w:tcPr>
            <w:tcW w:type="dxa" w:w="3289"/>
            <w:vAlign w:val="center"/>
          </w:tcPr>
          <w:p>
            <w:pPr>
              <w:spacing w:after="0"/>
            </w:pPr>
            <w:r/>
            <w:r>
              <w:rPr>
                <w:rFonts w:ascii="Arial" w:hAnsi="Arial"/>
                <w:b w:val="0"/>
                <w:sz w:val="17"/>
              </w:rPr>
              <w:t>True</w:t>
            </w:r>
          </w:p>
        </w:tc>
        <w:tc>
          <w:tcPr>
            <w:tcW w:type="dxa" w:w="3289"/>
            <w:vAlign w:val="center"/>
          </w:tcPr>
          <w:p>
            <w:pPr>
              <w:spacing w:after="0"/>
            </w:pPr>
            <w:r/>
            <w:r>
              <w:rPr>
                <w:rFonts w:ascii="Arial" w:hAnsi="Arial"/>
                <w:b w:val="0"/>
                <w:sz w:val="17"/>
              </w:rPr>
              <w:t>source_file_structure_audit.csv</w:t>
            </w:r>
          </w:p>
        </w:tc>
      </w:tr>
      <w:tr>
        <w:trPr>
          <w:cantSplit w:val="true"/>
        </w:trPr>
        <w:tc>
          <w:tcPr>
            <w:tcW w:type="dxa" w:w="3289"/>
            <w:vAlign w:val="center"/>
          </w:tcPr>
          <w:p>
            <w:pPr>
              <w:spacing w:after="0"/>
            </w:pPr>
            <w:r/>
            <w:r>
              <w:rPr>
                <w:rFonts w:ascii="Arial" w:hAnsi="Arial"/>
                <w:b w:val="0"/>
                <w:sz w:val="17"/>
              </w:rPr>
              <w:t>Static post/CVE fields match across LLM variants</w:t>
            </w:r>
          </w:p>
        </w:tc>
        <w:tc>
          <w:tcPr>
            <w:tcW w:type="dxa" w:w="3289"/>
            <w:vAlign w:val="center"/>
          </w:tcPr>
          <w:p>
            <w:pPr>
              <w:spacing w:after="0"/>
            </w:pPr>
            <w:r/>
            <w:r>
              <w:rPr>
                <w:rFonts w:ascii="Arial" w:hAnsi="Arial"/>
                <w:b w:val="0"/>
                <w:sz w:val="17"/>
              </w:rPr>
              <w:t>True</w:t>
            </w:r>
          </w:p>
        </w:tc>
        <w:tc>
          <w:tcPr>
            <w:tcW w:type="dxa" w:w="3289"/>
            <w:vAlign w:val="center"/>
          </w:tcPr>
          <w:p>
            <w:pPr>
              <w:spacing w:after="0"/>
            </w:pPr>
            <w:r/>
            <w:r>
              <w:rPr>
                <w:rFonts w:ascii="Arial" w:hAnsi="Arial"/>
                <w:b w:val="0"/>
                <w:sz w:val="17"/>
              </w:rPr>
              <w:t>static_feature_consistency.csv</w:t>
            </w:r>
          </w:p>
        </w:tc>
      </w:tr>
      <w:tr>
        <w:trPr>
          <w:cantSplit w:val="true"/>
        </w:trPr>
        <w:tc>
          <w:tcPr>
            <w:tcW w:type="dxa" w:w="3289"/>
            <w:vAlign w:val="center"/>
          </w:tcPr>
          <w:p>
            <w:pPr>
              <w:spacing w:after="0"/>
            </w:pPr>
            <w:r/>
            <w:r>
              <w:rPr>
                <w:rFonts w:ascii="Arial" w:hAnsi="Arial"/>
                <w:b w:val="0"/>
                <w:sz w:val="17"/>
              </w:rPr>
              <w:t>The analysis population has 6,628 rows and valid dates</w:t>
            </w:r>
          </w:p>
        </w:tc>
        <w:tc>
          <w:tcPr>
            <w:tcW w:type="dxa" w:w="3289"/>
            <w:vAlign w:val="center"/>
          </w:tcPr>
          <w:p>
            <w:pPr>
              <w:spacing w:after="0"/>
            </w:pPr>
            <w:r/>
            <w:r>
              <w:rPr>
                <w:rFonts w:ascii="Arial" w:hAnsi="Arial"/>
                <w:b w:val="0"/>
                <w:sz w:val="17"/>
              </w:rPr>
              <w:t>True</w:t>
            </w:r>
          </w:p>
        </w:tc>
        <w:tc>
          <w:tcPr>
            <w:tcW w:type="dxa" w:w="3289"/>
            <w:vAlign w:val="center"/>
          </w:tcPr>
          <w:p>
            <w:pPr>
              <w:spacing w:after="0"/>
            </w:pPr>
            <w:r/>
            <w:r>
              <w:rPr>
                <w:rFonts w:ascii="Arial" w:hAnsi="Arial"/>
                <w:b w:val="0"/>
                <w:sz w:val="17"/>
              </w:rPr>
              <w:t>gpt_combined_summ.csv</w:t>
            </w:r>
          </w:p>
        </w:tc>
      </w:tr>
      <w:tr>
        <w:trPr>
          <w:cantSplit w:val="true"/>
        </w:trPr>
        <w:tc>
          <w:tcPr>
            <w:tcW w:type="dxa" w:w="3289"/>
            <w:vAlign w:val="center"/>
          </w:tcPr>
          <w:p>
            <w:pPr>
              <w:spacing w:after="0"/>
            </w:pPr>
            <w:r/>
            <w:r>
              <w:rPr>
                <w:rFonts w:ascii="Arial" w:hAnsi="Arial"/>
                <w:b w:val="0"/>
                <w:sz w:val="17"/>
              </w:rPr>
              <w:t>All 21 core fields are complete in the analysis population</w:t>
            </w:r>
          </w:p>
        </w:tc>
        <w:tc>
          <w:tcPr>
            <w:tcW w:type="dxa" w:w="3289"/>
            <w:vAlign w:val="center"/>
          </w:tcPr>
          <w:p>
            <w:pPr>
              <w:spacing w:after="0"/>
            </w:pPr>
            <w:r/>
            <w:r>
              <w:rPr>
                <w:rFonts w:ascii="Arial" w:hAnsi="Arial"/>
                <w:b w:val="0"/>
                <w:sz w:val="17"/>
              </w:rPr>
              <w:t>True</w:t>
            </w:r>
          </w:p>
        </w:tc>
        <w:tc>
          <w:tcPr>
            <w:tcW w:type="dxa" w:w="3289"/>
            <w:vAlign w:val="center"/>
          </w:tcPr>
          <w:p>
            <w:pPr>
              <w:spacing w:after="0"/>
            </w:pPr>
            <w:r/>
            <w:r>
              <w:rPr>
                <w:rFonts w:ascii="Arial" w:hAnsi="Arial"/>
                <w:b w:val="0"/>
                <w:sz w:val="17"/>
              </w:rPr>
              <w:t>source_missingness_audit.csv</w:t>
            </w:r>
          </w:p>
        </w:tc>
      </w:tr>
      <w:tr>
        <w:trPr>
          <w:cantSplit w:val="true"/>
        </w:trPr>
        <w:tc>
          <w:tcPr>
            <w:tcW w:type="dxa" w:w="3289"/>
            <w:vAlign w:val="center"/>
          </w:tcPr>
          <w:p>
            <w:pPr>
              <w:spacing w:after="0"/>
            </w:pPr>
            <w:r/>
            <w:r>
              <w:rPr>
                <w:rFonts w:ascii="Arial" w:hAnsi="Arial"/>
                <w:b w:val="0"/>
                <w:sz w:val="17"/>
              </w:rPr>
              <w:t>The input contains 5,692 canonical CVEs</w:t>
            </w:r>
          </w:p>
        </w:tc>
        <w:tc>
          <w:tcPr>
            <w:tcW w:type="dxa" w:w="3289"/>
            <w:vAlign w:val="center"/>
          </w:tcPr>
          <w:p>
            <w:pPr>
              <w:spacing w:after="0"/>
            </w:pPr>
            <w:r/>
            <w:r>
              <w:rPr>
                <w:rFonts w:ascii="Arial" w:hAnsi="Arial"/>
                <w:b w:val="0"/>
                <w:sz w:val="17"/>
              </w:rPr>
              <w:t>True</w:t>
            </w:r>
          </w:p>
        </w:tc>
        <w:tc>
          <w:tcPr>
            <w:tcW w:type="dxa" w:w="3289"/>
            <w:vAlign w:val="center"/>
          </w:tcPr>
          <w:p>
            <w:pPr>
              <w:spacing w:after="0"/>
            </w:pPr>
            <w:r/>
            <w:r>
              <w:rPr>
                <w:rFonts w:ascii="Arial" w:hAnsi="Arial"/>
                <w:b w:val="0"/>
                <w:sz w:val="17"/>
              </w:rPr>
              <w:t>gpt_combined_summ.csv</w:t>
            </w:r>
          </w:p>
        </w:tc>
      </w:tr>
      <w:tr>
        <w:trPr>
          <w:cantSplit w:val="true"/>
        </w:trPr>
        <w:tc>
          <w:tcPr>
            <w:tcW w:type="dxa" w:w="3289"/>
            <w:vAlign w:val="center"/>
          </w:tcPr>
          <w:p>
            <w:pPr>
              <w:spacing w:after="0"/>
            </w:pPr>
            <w:r/>
            <w:r>
              <w:rPr>
                <w:rFonts w:ascii="Arial" w:hAnsi="Arial"/>
                <w:b w:val="0"/>
                <w:sz w:val="17"/>
              </w:rPr>
              <w:t>The analysis population and first-event table contain 4,187 CVEs</w:t>
            </w:r>
          </w:p>
        </w:tc>
        <w:tc>
          <w:tcPr>
            <w:tcW w:type="dxa" w:w="3289"/>
            <w:vAlign w:val="center"/>
          </w:tcPr>
          <w:p>
            <w:pPr>
              <w:spacing w:after="0"/>
            </w:pPr>
            <w:r/>
            <w:r>
              <w:rPr>
                <w:rFonts w:ascii="Arial" w:hAnsi="Arial"/>
                <w:b w:val="0"/>
                <w:sz w:val="17"/>
              </w:rPr>
              <w:t>True</w:t>
            </w:r>
          </w:p>
        </w:tc>
        <w:tc>
          <w:tcPr>
            <w:tcW w:type="dxa" w:w="3289"/>
            <w:vAlign w:val="center"/>
          </w:tcPr>
          <w:p>
            <w:pPr>
              <w:spacing w:after="0"/>
            </w:pPr>
            <w:r/>
            <w:r>
              <w:rPr>
                <w:rFonts w:ascii="Arial" w:hAnsi="Arial"/>
                <w:b w:val="0"/>
                <w:sz w:val="17"/>
              </w:rPr>
              <w:t>forward_events_base.csv</w:t>
            </w:r>
          </w:p>
        </w:tc>
      </w:tr>
      <w:tr>
        <w:trPr>
          <w:cantSplit w:val="true"/>
        </w:trPr>
        <w:tc>
          <w:tcPr>
            <w:tcW w:type="dxa" w:w="3289"/>
            <w:vAlign w:val="center"/>
          </w:tcPr>
          <w:p>
            <w:pPr>
              <w:spacing w:after="0"/>
            </w:pPr>
            <w:r/>
            <w:r>
              <w:rPr>
                <w:rFonts w:ascii="Arial" w:hAnsi="Arial"/>
                <w:b w:val="0"/>
                <w:sz w:val="17"/>
              </w:rPr>
              <w:t>Platform and monthly totals reconcile to 6,628 rows</w:t>
            </w:r>
          </w:p>
        </w:tc>
        <w:tc>
          <w:tcPr>
            <w:tcW w:type="dxa" w:w="3289"/>
            <w:vAlign w:val="center"/>
          </w:tcPr>
          <w:p>
            <w:pPr>
              <w:spacing w:after="0"/>
            </w:pPr>
            <w:r/>
            <w:r>
              <w:rPr>
                <w:rFonts w:ascii="Arial" w:hAnsi="Arial"/>
                <w:b w:val="0"/>
                <w:sz w:val="17"/>
              </w:rPr>
              <w:t>True</w:t>
            </w:r>
          </w:p>
        </w:tc>
        <w:tc>
          <w:tcPr>
            <w:tcW w:type="dxa" w:w="3289"/>
            <w:vAlign w:val="center"/>
          </w:tcPr>
          <w:p>
            <w:pPr>
              <w:spacing w:after="0"/>
            </w:pPr>
            <w:r/>
            <w:r>
              <w:rPr>
                <w:rFonts w:ascii="Arial" w:hAnsi="Arial"/>
                <w:b w:val="0"/>
                <w:sz w:val="17"/>
              </w:rPr>
              <w:t>platform profile and saved monthly volume table</w:t>
            </w:r>
          </w:p>
        </w:tc>
      </w:tr>
      <w:tr>
        <w:trPr>
          <w:cantSplit w:val="true"/>
        </w:trPr>
        <w:tc>
          <w:tcPr>
            <w:tcW w:type="dxa" w:w="3289"/>
            <w:vAlign w:val="center"/>
          </w:tcPr>
          <w:p>
            <w:pPr>
              <w:spacing w:after="0"/>
            </w:pPr>
            <w:r/>
            <w:r>
              <w:rPr>
                <w:rFonts w:ascii="Arial" w:hAnsi="Arial"/>
                <w:b w:val="0"/>
                <w:sz w:val="17"/>
              </w:rPr>
              <w:t>CVE-year totals reconcile to 4,187 unique CVEs</w:t>
            </w:r>
          </w:p>
        </w:tc>
        <w:tc>
          <w:tcPr>
            <w:tcW w:type="dxa" w:w="3289"/>
            <w:vAlign w:val="center"/>
          </w:tcPr>
          <w:p>
            <w:pPr>
              <w:spacing w:after="0"/>
            </w:pPr>
            <w:r/>
            <w:r>
              <w:rPr>
                <w:rFonts w:ascii="Arial" w:hAnsi="Arial"/>
                <w:b w:val="0"/>
                <w:sz w:val="17"/>
              </w:rPr>
              <w:t>True</w:t>
            </w:r>
          </w:p>
        </w:tc>
        <w:tc>
          <w:tcPr>
            <w:tcW w:type="dxa" w:w="3289"/>
            <w:vAlign w:val="center"/>
          </w:tcPr>
          <w:p>
            <w:pPr>
              <w:spacing w:after="0"/>
            </w:pPr>
            <w:r/>
            <w:r>
              <w:rPr>
                <w:rFonts w:ascii="Arial" w:hAnsi="Arial"/>
                <w:b w:val="0"/>
                <w:sz w:val="17"/>
              </w:rPr>
              <w:t>epss_by_cve_year.csv</w:t>
            </w:r>
          </w:p>
        </w:tc>
      </w:tr>
      <w:tr>
        <w:trPr>
          <w:cantSplit w:val="true"/>
        </w:trPr>
        <w:tc>
          <w:tcPr>
            <w:tcW w:type="dxa" w:w="3289"/>
            <w:vAlign w:val="center"/>
          </w:tcPr>
          <w:p>
            <w:pPr>
              <w:spacing w:after="0"/>
            </w:pPr>
            <w:r/>
            <w:r>
              <w:rPr>
                <w:rFonts w:ascii="Arial" w:hAnsi="Arial"/>
                <w:b w:val="0"/>
                <w:sz w:val="17"/>
              </w:rPr>
              <w:t>All summary tables used in the report have complete cells</w:t>
            </w:r>
          </w:p>
        </w:tc>
        <w:tc>
          <w:tcPr>
            <w:tcW w:type="dxa" w:w="3289"/>
            <w:vAlign w:val="center"/>
          </w:tcPr>
          <w:p>
            <w:pPr>
              <w:spacing w:after="0"/>
            </w:pPr>
            <w:r/>
            <w:r>
              <w:rPr>
                <w:rFonts w:ascii="Arial" w:hAnsi="Arial"/>
                <w:b w:val="0"/>
                <w:sz w:val="17"/>
              </w:rPr>
              <w:t>True</w:t>
            </w:r>
          </w:p>
        </w:tc>
        <w:tc>
          <w:tcPr>
            <w:tcW w:type="dxa" w:w="3289"/>
            <w:vAlign w:val="center"/>
          </w:tcPr>
          <w:p>
            <w:pPr>
              <w:spacing w:after="0"/>
            </w:pPr>
            <w:r/>
            <w:r>
              <w:rPr>
                <w:rFonts w:ascii="Arial" w:hAnsi="Arial"/>
                <w:b w:val="0"/>
                <w:sz w:val="17"/>
              </w:rPr>
              <w:t>saved report-input CSV tables</w:t>
            </w:r>
          </w:p>
        </w:tc>
      </w:tr>
      <w:tr>
        <w:trPr>
          <w:cantSplit w:val="true"/>
        </w:trPr>
        <w:tc>
          <w:tcPr>
            <w:tcW w:type="dxa" w:w="3289"/>
            <w:vAlign w:val="center"/>
          </w:tcPr>
          <w:p>
            <w:pPr>
              <w:spacing w:after="0"/>
            </w:pPr>
            <w:r/>
            <w:r>
              <w:rPr>
                <w:rFonts w:ascii="Arial" w:hAnsi="Arial"/>
                <w:b w:val="0"/>
                <w:sz w:val="17"/>
              </w:rPr>
              <w:t>Shared-text result is 387 texts and 2,191 analysis rows</w:t>
            </w:r>
          </w:p>
        </w:tc>
        <w:tc>
          <w:tcPr>
            <w:tcW w:type="dxa" w:w="3289"/>
            <w:vAlign w:val="center"/>
          </w:tcPr>
          <w:p>
            <w:pPr>
              <w:spacing w:after="0"/>
            </w:pPr>
            <w:r/>
            <w:r>
              <w:rPr>
                <w:rFonts w:ascii="Arial" w:hAnsi="Arial"/>
                <w:b w:val="0"/>
                <w:sz w:val="17"/>
              </w:rPr>
              <w:t>True</w:t>
            </w:r>
          </w:p>
        </w:tc>
        <w:tc>
          <w:tcPr>
            <w:tcW w:type="dxa" w:w="3289"/>
            <w:vAlign w:val="center"/>
          </w:tcPr>
          <w:p>
            <w:pPr>
              <w:spacing w:after="0"/>
            </w:pPr>
            <w:r/>
            <w:r>
              <w:rPr>
                <w:rFonts w:ascii="Arial" w:hAnsi="Arial"/>
                <w:b w:val="0"/>
                <w:sz w:val="17"/>
              </w:rPr>
              <w:t>gpt_combined_summ.csv</w:t>
            </w:r>
          </w:p>
        </w:tc>
      </w:tr>
      <w:tr>
        <w:trPr>
          <w:cantSplit w:val="true"/>
        </w:trPr>
        <w:tc>
          <w:tcPr>
            <w:tcW w:type="dxa" w:w="3289"/>
            <w:vAlign w:val="center"/>
          </w:tcPr>
          <w:p>
            <w:pPr>
              <w:spacing w:after="0"/>
            </w:pPr>
            <w:r/>
            <w:r>
              <w:rPr>
                <w:rFonts w:ascii="Arial" w:hAnsi="Arial"/>
                <w:b w:val="0"/>
                <w:sz w:val="17"/>
              </w:rPr>
              <w:t>Forward EPSS summaries match expected event counts</w:t>
            </w:r>
          </w:p>
        </w:tc>
        <w:tc>
          <w:tcPr>
            <w:tcW w:type="dxa" w:w="3289"/>
            <w:vAlign w:val="center"/>
          </w:tcPr>
          <w:p>
            <w:pPr>
              <w:spacing w:after="0"/>
            </w:pPr>
            <w:r/>
            <w:r>
              <w:rPr>
                <w:rFonts w:ascii="Arial" w:hAnsi="Arial"/>
                <w:b w:val="0"/>
                <w:sz w:val="17"/>
              </w:rPr>
              <w:t>True</w:t>
            </w:r>
          </w:p>
        </w:tc>
        <w:tc>
          <w:tcPr>
            <w:tcW w:type="dxa" w:w="3289"/>
            <w:vAlign w:val="center"/>
          </w:tcPr>
          <w:p>
            <w:pPr>
              <w:spacing w:after="0"/>
            </w:pPr>
            <w:r/>
            <w:r>
              <w:rPr>
                <w:rFonts w:ascii="Arial" w:hAnsi="Arial"/>
                <w:b w:val="0"/>
                <w:sz w:val="17"/>
              </w:rPr>
              <w:t>forward_event_outcome_summary.csv</w:t>
            </w:r>
          </w:p>
        </w:tc>
      </w:tr>
      <w:tr>
        <w:trPr>
          <w:cantSplit w:val="true"/>
        </w:trPr>
        <w:tc>
          <w:tcPr>
            <w:tcW w:type="dxa" w:w="3289"/>
            <w:vAlign w:val="center"/>
          </w:tcPr>
          <w:p>
            <w:pPr>
              <w:spacing w:after="0"/>
            </w:pPr>
            <w:r/>
            <w:r>
              <w:rPr>
                <w:rFonts w:ascii="Arial" w:hAnsi="Arial"/>
                <w:b w:val="0"/>
                <w:sz w:val="17"/>
              </w:rPr>
              <w:t>Comparison summary contains 869 (+7d) and 868 (+30d) posted-CVE events</w:t>
            </w:r>
          </w:p>
        </w:tc>
        <w:tc>
          <w:tcPr>
            <w:tcW w:type="dxa" w:w="3289"/>
            <w:vAlign w:val="center"/>
          </w:tcPr>
          <w:p>
            <w:pPr>
              <w:spacing w:after="0"/>
            </w:pPr>
            <w:r/>
            <w:r>
              <w:rPr>
                <w:rFonts w:ascii="Arial" w:hAnsi="Arial"/>
                <w:b w:val="0"/>
                <w:sz w:val="17"/>
              </w:rPr>
              <w:t>True</w:t>
            </w:r>
          </w:p>
        </w:tc>
        <w:tc>
          <w:tcPr>
            <w:tcW w:type="dxa" w:w="3289"/>
            <w:vAlign w:val="center"/>
          </w:tcPr>
          <w:p>
            <w:pPr>
              <w:spacing w:after="0"/>
            </w:pPr>
            <w:r/>
            <w:r>
              <w:rPr>
                <w:rFonts w:ascii="Arial" w:hAnsi="Arial"/>
                <w:b w:val="0"/>
                <w:sz w:val="17"/>
              </w:rPr>
              <w:t>comparison_summary.csv</w:t>
            </w:r>
          </w:p>
        </w:tc>
      </w:tr>
      <w:tr>
        <w:trPr>
          <w:cantSplit w:val="true"/>
        </w:trPr>
        <w:tc>
          <w:tcPr>
            <w:tcW w:type="dxa" w:w="3289"/>
            <w:vAlign w:val="center"/>
          </w:tcPr>
          <w:p>
            <w:pPr>
              <w:spacing w:after="0"/>
            </w:pPr>
            <w:r/>
            <w:r>
              <w:rPr>
                <w:rFonts w:ascii="Arial" w:hAnsi="Arial"/>
                <w:b w:val="0"/>
                <w:sz w:val="17"/>
              </w:rPr>
              <w:t>KEV counts are internally consistent</w:t>
            </w:r>
          </w:p>
        </w:tc>
        <w:tc>
          <w:tcPr>
            <w:tcW w:type="dxa" w:w="3289"/>
            <w:vAlign w:val="center"/>
          </w:tcPr>
          <w:p>
            <w:pPr>
              <w:spacing w:after="0"/>
            </w:pPr>
            <w:r/>
            <w:r>
              <w:rPr>
                <w:rFonts w:ascii="Arial" w:hAnsi="Arial"/>
                <w:b w:val="0"/>
                <w:sz w:val="17"/>
              </w:rPr>
              <w:t>True</w:t>
            </w:r>
          </w:p>
        </w:tc>
        <w:tc>
          <w:tcPr>
            <w:tcW w:type="dxa" w:w="3289"/>
            <w:vAlign w:val="center"/>
          </w:tcPr>
          <w:p>
            <w:pPr>
              <w:spacing w:after="0"/>
            </w:pPr>
            <w:r/>
            <w:r>
              <w:rPr>
                <w:rFonts w:ascii="Arial" w:hAnsi="Arial"/>
                <w:b w:val="0"/>
                <w:sz w:val="17"/>
              </w:rPr>
              <w:t>kev_summary.csv</w:t>
            </w:r>
          </w:p>
        </w:tc>
      </w:tr>
      <w:tr>
        <w:trPr>
          <w:cantSplit w:val="true"/>
        </w:trPr>
        <w:tc>
          <w:tcPr>
            <w:tcW w:type="dxa" w:w="3289"/>
            <w:vAlign w:val="center"/>
          </w:tcPr>
          <w:p>
            <w:pPr>
              <w:spacing w:after="0"/>
            </w:pPr>
            <w:r/>
            <w:r>
              <w:rPr>
                <w:rFonts w:ascii="Arial" w:hAnsi="Arial"/>
                <w:b w:val="0"/>
                <w:sz w:val="17"/>
              </w:rPr>
              <w:t>Worked comparison CVEs and captured-post dates agree with the original dataset</w:t>
            </w:r>
          </w:p>
        </w:tc>
        <w:tc>
          <w:tcPr>
            <w:tcW w:type="dxa" w:w="3289"/>
            <w:vAlign w:val="center"/>
          </w:tcPr>
          <w:p>
            <w:pPr>
              <w:spacing w:after="0"/>
            </w:pPr>
            <w:r/>
            <w:r>
              <w:rPr>
                <w:rFonts w:ascii="Arial" w:hAnsi="Arial"/>
                <w:b w:val="0"/>
                <w:sz w:val="17"/>
              </w:rPr>
              <w:t>True</w:t>
            </w:r>
          </w:p>
        </w:tc>
        <w:tc>
          <w:tcPr>
            <w:tcW w:type="dxa" w:w="3289"/>
            <w:vAlign w:val="center"/>
          </w:tcPr>
          <w:p>
            <w:pPr>
              <w:spacing w:after="0"/>
            </w:pPr>
            <w:r/>
            <w:r>
              <w:rPr>
                <w:rFonts w:ascii="Arial" w:hAnsi="Arial"/>
                <w:b w:val="0"/>
                <w:sz w:val="17"/>
              </w:rPr>
              <w:t>gpt_combined_summ.csv and forward_events_base.csv</w:t>
            </w:r>
          </w:p>
        </w:tc>
      </w:tr>
      <w:tr>
        <w:trPr>
          <w:cantSplit w:val="true"/>
        </w:trPr>
        <w:tc>
          <w:tcPr>
            <w:tcW w:type="dxa" w:w="3289"/>
            <w:vAlign w:val="center"/>
          </w:tcPr>
          <w:p>
            <w:pPr>
              <w:spacing w:after="0"/>
            </w:pPr>
            <w:r/>
            <w:r>
              <w:rPr>
                <w:rFonts w:ascii="Arial" w:hAnsi="Arial"/>
                <w:b w:val="0"/>
                <w:sz w:val="17"/>
              </w:rPr>
              <w:t>Worked comparison CVEs first appear more than 30 days after their posted-CVE events</w:t>
            </w:r>
          </w:p>
        </w:tc>
        <w:tc>
          <w:tcPr>
            <w:tcW w:type="dxa" w:w="3289"/>
            <w:vAlign w:val="center"/>
          </w:tcPr>
          <w:p>
            <w:pPr>
              <w:spacing w:after="0"/>
            </w:pPr>
            <w:r/>
            <w:r>
              <w:rPr>
                <w:rFonts w:ascii="Arial" w:hAnsi="Arial"/>
                <w:b w:val="0"/>
                <w:sz w:val="17"/>
              </w:rPr>
              <w:t>True</w:t>
            </w:r>
          </w:p>
        </w:tc>
        <w:tc>
          <w:tcPr>
            <w:tcW w:type="dxa" w:w="3289"/>
            <w:vAlign w:val="center"/>
          </w:tcPr>
          <w:p>
            <w:pPr>
              <w:spacing w:after="0"/>
            </w:pPr>
            <w:r/>
            <w:r>
              <w:rPr>
                <w:rFonts w:ascii="Arial" w:hAnsi="Arial"/>
                <w:b w:val="0"/>
                <w:sz w:val="17"/>
              </w:rPr>
              <w:t>comparison_pair_outcomes.csv</w:t>
            </w:r>
          </w:p>
        </w:tc>
      </w:tr>
      <w:tr>
        <w:trPr>
          <w:cantSplit w:val="true"/>
        </w:trPr>
        <w:tc>
          <w:tcPr>
            <w:tcW w:type="dxa" w:w="3289"/>
            <w:vAlign w:val="center"/>
          </w:tcPr>
          <w:p>
            <w:pPr>
              <w:spacing w:after="0"/>
            </w:pPr>
            <w:r/>
            <w:r>
              <w:rPr>
                <w:rFonts w:ascii="Arial" w:hAnsi="Arial"/>
                <w:b w:val="0"/>
                <w:sz w:val="17"/>
              </w:rPr>
              <w:t>Worked comparison CVEs reproduce the year, CVSS, source-distance, and starting-EPSS selection rules</w:t>
            </w:r>
          </w:p>
        </w:tc>
        <w:tc>
          <w:tcPr>
            <w:tcW w:type="dxa" w:w="3289"/>
            <w:vAlign w:val="center"/>
          </w:tcPr>
          <w:p>
            <w:pPr>
              <w:spacing w:after="0"/>
            </w:pPr>
            <w:r/>
            <w:r>
              <w:rPr>
                <w:rFonts w:ascii="Arial" w:hAnsi="Arial"/>
                <w:b w:val="0"/>
                <w:sz w:val="17"/>
              </w:rPr>
              <w:t>True</w:t>
            </w:r>
          </w:p>
        </w:tc>
        <w:tc>
          <w:tcPr>
            <w:tcW w:type="dxa" w:w="3289"/>
            <w:vAlign w:val="center"/>
          </w:tcPr>
          <w:p>
            <w:pPr>
              <w:spacing w:after="0"/>
            </w:pPr>
            <w:r/>
            <w:r>
              <w:rPr>
                <w:rFonts w:ascii="Arial" w:hAnsi="Arial"/>
                <w:b w:val="0"/>
                <w:sz w:val="17"/>
              </w:rPr>
              <w:t>forward_events_base.csv and comparison_pair_outcomes.csv</w:t>
            </w:r>
          </w:p>
        </w:tc>
      </w:tr>
      <w:tr>
        <w:trPr>
          <w:cantSplit w:val="true"/>
        </w:trPr>
        <w:tc>
          <w:tcPr>
            <w:tcW w:type="dxa" w:w="3289"/>
            <w:vAlign w:val="center"/>
          </w:tcPr>
          <w:p>
            <w:pPr>
              <w:spacing w:after="0"/>
            </w:pPr>
            <w:r/>
            <w:r>
              <w:rPr>
                <w:rFonts w:ascii="Arial" w:hAnsi="Arial"/>
                <w:b w:val="0"/>
                <w:sz w:val="17"/>
              </w:rPr>
              <w:t>Worked EPSS values agree with cached FIRST daily scores</w:t>
            </w:r>
          </w:p>
        </w:tc>
        <w:tc>
          <w:tcPr>
            <w:tcW w:type="dxa" w:w="3289"/>
            <w:vAlign w:val="center"/>
          </w:tcPr>
          <w:p>
            <w:pPr>
              <w:spacing w:after="0"/>
            </w:pPr>
            <w:r/>
            <w:r>
              <w:rPr>
                <w:rFonts w:ascii="Arial" w:hAnsi="Arial"/>
                <w:b w:val="0"/>
                <w:sz w:val="17"/>
              </w:rPr>
              <w:t>True</w:t>
            </w:r>
          </w:p>
        </w:tc>
        <w:tc>
          <w:tcPr>
            <w:tcW w:type="dxa" w:w="3289"/>
            <w:vAlign w:val="center"/>
          </w:tcPr>
          <w:p>
            <w:pPr>
              <w:spacing w:after="0"/>
            </w:pPr>
            <w:r/>
            <w:r>
              <w:rPr>
                <w:rFonts w:ascii="Arial" w:hAnsi="Arial"/>
                <w:b w:val="0"/>
                <w:sz w:val="17"/>
              </w:rPr>
              <w:t>Forward_EPSS_Study/epss_cache</w:t>
            </w:r>
          </w:p>
        </w:tc>
      </w:tr>
      <w:tr>
        <w:trPr>
          <w:cantSplit w:val="true"/>
        </w:trPr>
        <w:tc>
          <w:tcPr>
            <w:tcW w:type="dxa" w:w="3289"/>
            <w:vAlign w:val="center"/>
          </w:tcPr>
          <w:p>
            <w:pPr>
              <w:spacing w:after="0"/>
            </w:pPr>
            <w:r/>
            <w:r>
              <w:rPr>
                <w:rFonts w:ascii="Arial" w:hAnsi="Arial"/>
                <w:b w:val="0"/>
                <w:sz w:val="17"/>
              </w:rPr>
              <w:t>Worked posted-minus-comparison calculations reproduce the saved results</w:t>
            </w:r>
          </w:p>
        </w:tc>
        <w:tc>
          <w:tcPr>
            <w:tcW w:type="dxa" w:w="3289"/>
            <w:vAlign w:val="center"/>
          </w:tcPr>
          <w:p>
            <w:pPr>
              <w:spacing w:after="0"/>
            </w:pPr>
            <w:r/>
            <w:r>
              <w:rPr>
                <w:rFonts w:ascii="Arial" w:hAnsi="Arial"/>
                <w:b w:val="0"/>
                <w:sz w:val="17"/>
              </w:rPr>
              <w:t>True</w:t>
            </w:r>
          </w:p>
        </w:tc>
        <w:tc>
          <w:tcPr>
            <w:tcW w:type="dxa" w:w="3289"/>
            <w:vAlign w:val="center"/>
          </w:tcPr>
          <w:p>
            <w:pPr>
              <w:spacing w:after="0"/>
            </w:pPr>
            <w:r/>
            <w:r>
              <w:rPr>
                <w:rFonts w:ascii="Arial" w:hAnsi="Arial"/>
                <w:b w:val="0"/>
                <w:sz w:val="17"/>
              </w:rPr>
              <w:t>comparison_pair_outcomes.csv</w:t>
            </w:r>
          </w:p>
        </w:tc>
      </w:tr>
    </w:tbl>
    <w:p>
      <w:pPr>
        <w:spacing w:after="40"/>
      </w:pPr>
    </w:p>
    <w:p>
      <w:pPr>
        <w:spacing w:after="180"/>
      </w:pPr>
      <w:r>
        <w:rPr>
          <w:b/>
        </w:rPr>
        <w:t>Table notes:</w:t>
      </w:r>
      <w:r>
        <w:t xml:space="preserve"> Each row is a fact calculated again directly from a saved data file. </w:t>
      </w:r>
      <w:r>
        <w:rPr>
          <w:rFonts w:ascii="Courier New" w:hAnsi="Courier New"/>
          <w:sz w:val="18"/>
        </w:rPr>
        <w:t>True</w:t>
      </w:r>
      <w:r>
        <w:t xml:space="preserve"> means the recalculated value agrees with the value reported in this document. Report generation stops if any check is false. The last column identifies the local data used for the check.</w:t>
      </w:r>
    </w:p>
    <w:p>
      <w:r>
        <w:t xml:space="preserve">The verification also confirmed that all summary tables printed in this report contain complete cells and that platform, monthly, and CVE-year totals reconcile with the analysis population. Missing EPSS values in the intermediate event panels were not filled in: each temporal result uses only CVEs with the required dates, and its </w:t>
      </w:r>
      <w:r>
        <w:rPr>
          <w:rFonts w:ascii="Courier New" w:hAnsi="Courier New"/>
          <w:sz w:val="18"/>
        </w:rPr>
        <w:t>CVEs</w:t>
      </w:r>
      <w:r>
        <w:t xml:space="preserve"> column reports that available sample. The largest allowed starting-percentile distance is 10 percentile points, and the strongest predictive feature set carries future-information and provenance risks.</w:t>
      </w:r>
    </w:p>
    <w:p>
      <w:pPr>
        <w:pStyle w:val="Heading1"/>
      </w:pPr>
      <w:r>
        <w:t>20. Reproducibility Record</w:t>
      </w:r>
    </w:p>
    <w:p>
      <w:r>
        <w:t>The report was built from the verified dataset inventory, the correlation report, the temporal feasibility audit, the historical EPSS event panel, the forward comparison outputs, the CISA KEV enrichment, the generated figures, and the saved result tables. The online sources listed in Section 3 were used to retrieve or validate external EPSS and KEV information; the final PDF itself was generated from cached local copies and the saved CSV outputs.</w:t>
      </w:r>
    </w:p>
    <w:sectPr w:rsidR="00FC693F" w:rsidRPr="0006063C" w:rsidSect="00034616">
      <w:footerReference w:type="default" r:id="rId9"/>
      <w:pgSz w:w="11906" w:h="16838"/>
      <w:pgMar w:top="1077" w:right="1020" w:bottom="107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Media and EPSS Analysis</dc:title>
  <dc:subject>Verified social-media, temporal EPSS, similar-CVE comparison, and KEV analysis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