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0"/>
        <w:tblBorders>
          <w:top w:val="none" w:color="FFFFFF" w:sz="0"/>
          <w:left w:val="none" w:color="FFFFFF" w:sz="0"/>
          <w:bottom w:val="none" w:color="FFFFFF" w:sz="0"/>
          <w:right w:val="none" w:color="FFFFFF" w:sz="0"/>
          <w:insideH w:val="none" w:color="FFFFFF" w:sz="0"/>
          <w:insideV w:val="none" w:color="FFFFFF" w:sz="0"/>
        </w:tblBorders>
      </w:tblPr>
      <w:tblGrid>
        <w:gridCol w:w="260"/>
        <w:gridCol w:w="9480"/>
      </w:tblGrid>
      <w:tr>
        <w:tc>
          <w:tcPr>
            <w:tcW w:type="dxa" w:w="260"/>
            <w:shd w:fill="6B1E2B" w:val="clear"/>
            <w:tcMar>
              <w:top w:type="dxa" w:w="0"/>
              <w:left w:type="dxa" w:w="0"/>
              <w:bottom w:type="dxa" w:w="0"/>
              <w:right w:type="dxa" w:w="0"/>
            </w:tcMar>
          </w:tcPr>
          <w:p/>
        </w:tc>
        <w:tc>
          <w:tcPr>
            <w:tcW w:type="dxa" w:w="9480"/>
            <w:tcMar>
              <w:top w:type="dxa" w:w="1600"/>
              <w:left w:type="dxa" w:w="500"/>
              <w:bottom w:type="dxa" w:w="200"/>
              <w:right w:type="dxa" w:w="300"/>
            </w:tcMar>
          </w:tcPr>
          <w:p>
            <w:pPr>
              <w:spacing w:after="260"/>
            </w:pPr>
            <w:r>
              <w:rPr>
                <w:rFonts w:ascii="Georgia" w:cs="Georgia" w:eastAsia="Georgia" w:hAnsi="Georgia"/>
                <w:b/>
                <w:bCs/>
                <w:color w:val="8A6A2E"/>
                <w:sz w:val="17"/>
                <w:szCs w:val="17"/>
              </w:rPr>
              <w:t xml:space="preserve">PRODUCT REQUIREMENTS DOCUMENT  ·  ROADMAP</w:t>
            </w:r>
          </w:p>
          <w:p>
            <w:pPr>
              <w:spacing w:after="100"/>
            </w:pPr>
            <w:r>
              <w:rPr>
                <w:rFonts w:ascii="Georgia" w:cs="Georgia" w:eastAsia="Georgia" w:hAnsi="Georgia"/>
                <w:b/>
                <w:bCs/>
                <w:color w:val="6B1E2B"/>
                <w:sz w:val="84"/>
                <w:szCs w:val="84"/>
              </w:rPr>
              <w:t xml:space="preserve">NextStep</w:t>
            </w:r>
          </w:p>
          <w:p>
            <w:pPr>
              <w:spacing w:after="500"/>
            </w:pPr>
            <w:r>
              <w:rPr>
                <w:rFonts w:ascii="Georgia" w:cs="Georgia" w:eastAsia="Georgia" w:hAnsi="Georgia"/>
                <w:i/>
                <w:iCs/>
                <w:color w:val="3A3A3A"/>
                <w:sz w:val="26"/>
                <w:szCs w:val="26"/>
              </w:rPr>
              <w:t xml:space="preserve">A First-90-Days Money Coach for New Students</w:t>
            </w:r>
          </w:p>
          <w:p>
            <w:pPr>
              <w:spacing w:after="60"/>
            </w:pPr>
            <w:r>
              <w:rPr>
                <w:rFonts w:ascii="Georgia" w:cs="Georgia" w:eastAsia="Georgia" w:hAnsi="Georgia"/>
                <w:b/>
                <w:bCs/>
                <w:color w:val="1A1A1A"/>
                <w:sz w:val="21"/>
                <w:szCs w:val="21"/>
              </w:rPr>
              <w:t xml:space="preserve">Prepared by Affan Ameer</w:t>
            </w:r>
          </w:p>
          <w:p>
            <w:pPr>
              <w:spacing w:after="400"/>
            </w:pPr>
            <w:r>
              <w:rPr>
                <w:rFonts w:ascii="Georgia" w:cs="Georgia" w:eastAsia="Georgia" w:hAnsi="Georgia"/>
                <w:color w:val="6E6E6E"/>
                <w:sz w:val="19"/>
                <w:szCs w:val="19"/>
              </w:rPr>
              <w:t xml:space="preserve">July 2026</w:t>
            </w:r>
          </w:p>
        </w:tc>
      </w:tr>
    </w:tbl>
    <w:p>
      <w:pPr>
        <w:spacing w:after="200" w:before="500"/>
      </w:pPr>
    </w:p>
    <w:tbl>
      <w:tblPr>
        <w:tblW w:type="dxa" w:w="7600"/>
        <w:jc w:val="center"/>
        <w:tblBorders>
          <w:top w:val="single" w:color="C9A44C" w:sz="4"/>
          <w:left w:val="single" w:color="C9A44C" w:sz="4"/>
          <w:bottom w:val="single" w:color="C9A44C" w:sz="4"/>
          <w:right w:val="single" w:color="C9A44C" w:sz="4"/>
          <w:insideH w:val="none" w:color="FFFFFF" w:sz="0"/>
          <w:insideV w:val="none" w:color="FFFFFF" w:sz="0"/>
        </w:tblBorders>
      </w:tblPr>
      <w:tblGrid>
        <w:gridCol w:w="100"/>
      </w:tblGrid>
      <w:tr>
        <w:tc>
          <w:tcPr>
            <w:tcW w:type="dxa" w:w="7600"/>
            <w:shd w:fill="F6EFE4" w:val="clear"/>
            <w:tcMar>
              <w:top w:type="dxa" w:w="260"/>
              <w:left w:type="dxa" w:w="420"/>
              <w:bottom w:type="dxa" w:w="260"/>
              <w:right w:type="dxa" w:w="420"/>
            </w:tcMar>
          </w:tcPr>
          <w:p>
            <w:pPr>
              <w:spacing w:after="80"/>
              <w:jc w:val="center"/>
            </w:pPr>
            <w:r>
              <w:rPr>
                <w:rFonts w:ascii="Georgia" w:cs="Georgia" w:eastAsia="Georgia" w:hAnsi="Georgia"/>
                <w:b/>
                <w:bCs/>
                <w:color w:val="6B1E2B"/>
                <w:sz w:val="52"/>
                <w:szCs w:val="52"/>
              </w:rPr>
              <w:t xml:space="preserve">92%</w:t>
            </w:r>
          </w:p>
          <w:p>
            <w:pPr>
              <w:jc w:val="center"/>
            </w:pPr>
            <w:r>
              <w:rPr>
                <w:rFonts w:ascii="Georgia" w:cs="Georgia" w:eastAsia="Georgia" w:hAnsi="Georgia"/>
                <w:i/>
                <w:iCs/>
                <w:color w:val="3A3A3A"/>
                <w:sz w:val="20"/>
                <w:szCs w:val="20"/>
              </w:rPr>
              <w:t xml:space="preserve">of Canadian post-secondary students say they feel stressed about money, versus 65% of the general population.</w:t>
            </w:r>
          </w:p>
          <w:p>
            <w:pPr>
              <w:spacing w:before="120"/>
              <w:jc w:val="center"/>
            </w:pPr>
            <w:r>
              <w:rPr>
                <w:rFonts w:ascii="Georgia" w:cs="Georgia" w:eastAsia="Georgia" w:hAnsi="Georgia"/>
                <w:color w:val="8A6A2E"/>
                <w:sz w:val="18"/>
                <w:szCs w:val="18"/>
              </w:rPr>
              <w:t xml:space="preserve">This project is my attempt at closing that gap.</w:t>
            </w:r>
          </w:p>
        </w:tc>
      </w:tr>
    </w:tbl>
    <w:p>
      <w:pPr>
        <w:spacing w:before="600"/>
        <w:jc w:val="center"/>
      </w:pPr>
      <w:r>
        <w:rPr>
          <w:rFonts w:ascii="Times New Roman" w:cs="Times New Roman" w:eastAsia="Times New Roman" w:hAnsi="Times New Roman"/>
          <w:i/>
          <w:iCs/>
          <w:color w:val="808080"/>
          <w:sz w:val="17"/>
          <w:szCs w:val="17"/>
        </w:rPr>
        <w:t xml:space="preserve">An independent, self-directed product case study for a Canadian retail bank. Not affiliated with or commissioned by any institution.</w:t>
      </w:r>
    </w:p>
    <w:p>
      <w:r>
        <w:br w:type="page"/>
      </w:r>
    </w:p>
    <w:p>
      <w:pPr>
        <w:pStyle w:val="Heading1"/>
        <w:pBdr>
          <w:bottom w:val="single" w:color="6B1E2B" w:sz="6" w:space="4"/>
        </w:pBdr>
        <w:spacing w:after="140" w:before="320"/>
      </w:pPr>
      <w:r>
        <w:rPr>
          <w:rFonts w:ascii="Times New Roman" w:cs="Times New Roman" w:eastAsia="Times New Roman" w:hAnsi="Times New Roman"/>
          <w:b/>
          <w:bCs/>
          <w:color w:val="6B1E2B"/>
          <w:sz w:val="30"/>
          <w:szCs w:val="30"/>
        </w:rPr>
        <w:t xml:space="preserve">1. Executive Summary</w:t>
      </w:r>
    </w:p>
    <w:p>
      <w:pPr>
        <w:spacing w:after="120" w:line="300"/>
      </w:pPr>
      <w:r>
        <w:rPr>
          <w:rFonts w:ascii="Times New Roman" w:cs="Times New Roman" w:eastAsia="Times New Roman" w:hAnsi="Times New Roman"/>
          <w:b w:val="false"/>
          <w:bCs w:val="false"/>
          <w:i w:val="false"/>
          <w:iCs w:val="false"/>
          <w:sz w:val="23"/>
          <w:szCs w:val="23"/>
        </w:rPr>
        <w:t xml:space="preserve">NextStep is an idea for a new feature inside a Canadian bank's app. It's meant to help new students handle money on their own for the first time, during their first 90 days away from home. Basically, it's built around one moment: you open your first bank account with no parent checking in on it, and you have to figure out a budget by yourself.</w:t>
      </w:r>
    </w:p>
    <w:p>
      <w:pPr>
        <w:spacing w:after="120" w:line="300"/>
      </w:pPr>
      <w:r>
        <w:rPr>
          <w:rFonts w:ascii="Times New Roman" w:cs="Times New Roman" w:eastAsia="Times New Roman" w:hAnsi="Times New Roman"/>
          <w:b w:val="false"/>
          <w:bCs w:val="false"/>
          <w:i w:val="false"/>
          <w:iCs w:val="false"/>
          <w:sz w:val="23"/>
          <w:szCs w:val="23"/>
        </w:rPr>
        <w:t xml:space="preserve">The goal is really two things. First, actually lower how stressed and overdrawn new students get. Second, give the bank a reason to keep these students as customers, since first year is when people are most likely to switch banks if nothing's helping them.</w:t>
      </w:r>
    </w:p>
    <w:p>
      <w:pPr>
        <w:pStyle w:val="Heading1"/>
        <w:pBdr>
          <w:bottom w:val="single" w:color="6B1E2B" w:sz="6" w:space="4"/>
        </w:pBdr>
        <w:spacing w:after="140" w:before="320"/>
      </w:pPr>
      <w:r>
        <w:rPr>
          <w:rFonts w:ascii="Times New Roman" w:cs="Times New Roman" w:eastAsia="Times New Roman" w:hAnsi="Times New Roman"/>
          <w:b/>
          <w:bCs/>
          <w:color w:val="6B1E2B"/>
          <w:sz w:val="30"/>
          <w:szCs w:val="30"/>
        </w:rPr>
        <w:t xml:space="preserve">2. Problem Statement</w:t>
      </w:r>
    </w:p>
    <w:p>
      <w:pPr>
        <w:spacing w:after="120" w:line="300"/>
      </w:pPr>
      <w:r>
        <w:rPr>
          <w:rFonts w:ascii="Times New Roman" w:cs="Times New Roman" w:eastAsia="Times New Roman" w:hAnsi="Times New Roman"/>
          <w:b w:val="false"/>
          <w:bCs w:val="false"/>
          <w:i w:val="false"/>
          <w:iCs w:val="false"/>
          <w:sz w:val="23"/>
          <w:szCs w:val="23"/>
        </w:rPr>
        <w:t xml:space="preserve">The data backs this up, and it's not a small problem. In a national survey of Canadian post-secondary students, 92% said they feel stressed about money, compared to 65% of the general population. Only 11% of students said they feel financially stable, and only 64% said they feel like they actually know how to budget, compared to 84% of everyone else.</w:t>
      </w:r>
    </w:p>
    <w:p>
      <w:pPr>
        <w:spacing w:after="60"/>
        <w:jc w:val="center"/>
      </w:pPr>
      <w:r>
        <w:drawing>
          <wp:inline distT="0" distB="0" distL="0" distR="0">
            <wp:extent cx="447675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609850"/>
                    </a:xfrm>
                    <a:prstGeom prst="rect">
                      <a:avLst/>
                    </a:prstGeom>
                  </pic:spPr>
                </pic:pic>
              </a:graphicData>
            </a:graphic>
          </wp:inline>
        </w:drawing>
      </w:r>
    </w:p>
    <w:p>
      <w:pPr>
        <w:spacing w:after="160"/>
      </w:pPr>
      <w:r>
        <w:rPr>
          <w:rFonts w:ascii="Times New Roman" w:cs="Times New Roman" w:eastAsia="Times New Roman" w:hAnsi="Times New Roman"/>
          <w:i/>
          <w:iCs/>
          <w:color w:val="6E6E6E"/>
          <w:sz w:val="17"/>
          <w:szCs w:val="17"/>
        </w:rPr>
        <w:t xml:space="preserve">Source: The Harris Poll Canada, national bank-commissioned survey of Canadian post-secondary students and parents, August 2025.</w:t>
      </w:r>
    </w:p>
    <w:p>
      <w:pPr>
        <w:spacing w:after="120" w:line="300"/>
      </w:pPr>
      <w:r>
        <w:rPr>
          <w:rFonts w:ascii="Times New Roman" w:cs="Times New Roman" w:eastAsia="Times New Roman" w:hAnsi="Times New Roman"/>
          <w:b w:val="false"/>
          <w:bCs w:val="false"/>
          <w:i w:val="false"/>
          <w:iCs w:val="false"/>
          <w:sz w:val="23"/>
          <w:szCs w:val="23"/>
        </w:rPr>
        <w:t xml:space="preserve">And the cost side keeps going up. The national average tuition for Canadian undergrads is $7,734 for 2025/2026, and in some provinces it's getting close to $10,000, before you even add rent, food, and regular spending. About one in four Canadian students say they've actually thought about dropping out because of money. That's not a small stat.</w:t>
      </w:r>
    </w:p>
    <w:p>
      <w:pPr>
        <w:spacing w:after="120" w:line="300"/>
      </w:pPr>
      <w:r>
        <w:rPr>
          <w:rFonts w:ascii="Times New Roman" w:cs="Times New Roman" w:eastAsia="Times New Roman" w:hAnsi="Times New Roman"/>
          <w:b w:val="false"/>
          <w:bCs w:val="false"/>
          <w:i w:val="false"/>
          <w:iCs w:val="false"/>
          <w:sz w:val="23"/>
          <w:szCs w:val="23"/>
        </w:rPr>
        <w:t xml:space="preserve">Meanwhile, almost everyone my age already banks through an app instead of a branch. Close to half of Gen Z does most of their banking on mobile. So the app is already where people are. What's missing isn't the channel, it's the actual help inside it.</w:t>
      </w:r>
    </w:p>
    <w:p>
      <w:pPr>
        <w:pStyle w:val="Heading2"/>
        <w:spacing w:after="100" w:before="220"/>
      </w:pPr>
      <w:r>
        <w:rPr>
          <w:rFonts w:ascii="Times New Roman" w:cs="Times New Roman" w:eastAsia="Times New Roman" w:hAnsi="Times New Roman"/>
          <w:b/>
          <w:bCs/>
          <w:i/>
          <w:iCs/>
          <w:color w:val="8A6A2E"/>
          <w:sz w:val="25"/>
          <w:szCs w:val="25"/>
        </w:rPr>
        <w:t xml:space="preserve">The gap</w:t>
      </w:r>
    </w:p>
    <w:p>
      <w:pPr>
        <w:spacing w:after="120" w:line="300"/>
      </w:pPr>
      <w:r>
        <w:rPr>
          <w:rFonts w:ascii="Times New Roman" w:cs="Times New Roman" w:eastAsia="Times New Roman" w:hAnsi="Times New Roman"/>
          <w:b w:val="false"/>
          <w:bCs w:val="false"/>
          <w:i w:val="false"/>
          <w:iCs w:val="false"/>
          <w:sz w:val="23"/>
          <w:szCs w:val="23"/>
        </w:rPr>
        <w:t xml:space="preserve">A few Canadian banks already have money apps for kids and teens, usually ages 6 to 17, where a parent funds the account and can see everything. They're actually pretty well designed. But they're built around a parent watching, and that watching stops the second the teen leaves for university. Nobody's really built something for that specific gap, the moment a student moves out and has to build a budget completely alone for the first time.</w:t>
      </w:r>
    </w:p>
    <w:p>
      <w:pPr>
        <w:pStyle w:val="Heading2"/>
        <w:spacing w:after="100" w:before="220"/>
      </w:pPr>
      <w:r>
        <w:rPr>
          <w:rFonts w:ascii="Times New Roman" w:cs="Times New Roman" w:eastAsia="Times New Roman" w:hAnsi="Times New Roman"/>
          <w:b/>
          <w:bCs/>
          <w:i/>
          <w:iCs/>
          <w:color w:val="8A6A2E"/>
          <w:sz w:val="25"/>
          <w:szCs w:val="25"/>
        </w:rPr>
        <w:t xml:space="preserve">Why this matters to a bank</w:t>
      </w:r>
    </w:p>
    <w:p>
      <w:pPr>
        <w:pStyle w:val="ListParagraph"/>
        <w:numPr>
          <w:ilvl w:val="0"/>
          <w:numId w:val="2"/>
        </w:numPr>
        <w:spacing w:after="60"/>
      </w:pPr>
      <w:r>
        <w:rPr>
          <w:rFonts w:ascii="Times New Roman" w:cs="Times New Roman" w:eastAsia="Times New Roman" w:hAnsi="Times New Roman"/>
          <w:sz w:val="23"/>
          <w:szCs w:val="23"/>
        </w:rPr>
        <w:t xml:space="preserve">The bank already has these kids as customers through the youth app. In a few years they age into needing a real account anyway, so this is a pretty natural next step if the bank actually builds it.</w:t>
      </w:r>
    </w:p>
    <w:p>
      <w:pPr>
        <w:pStyle w:val="ListParagraph"/>
        <w:numPr>
          <w:ilvl w:val="0"/>
          <w:numId w:val="2"/>
        </w:numPr>
        <w:spacing w:after="60"/>
      </w:pPr>
      <w:r>
        <w:rPr>
          <w:rFonts w:ascii="Times New Roman" w:cs="Times New Roman" w:eastAsia="Times New Roman" w:hAnsi="Times New Roman"/>
          <w:sz w:val="23"/>
          <w:szCs w:val="23"/>
        </w:rPr>
        <w:t xml:space="preserve">If a student opens their first real account somewhere else, they probably won't switch banks again for years. So first year is basically the one shot a bank gets to either win them or lose them.</w:t>
      </w:r>
    </w:p>
    <w:p>
      <w:pPr>
        <w:pStyle w:val="ListParagraph"/>
        <w:numPr>
          <w:ilvl w:val="0"/>
          <w:numId w:val="2"/>
        </w:numPr>
        <w:spacing w:after="60"/>
      </w:pPr>
      <w:r>
        <w:rPr>
          <w:rFonts w:ascii="Times New Roman" w:cs="Times New Roman" w:eastAsia="Times New Roman" w:hAnsi="Times New Roman"/>
          <w:sz w:val="23"/>
          <w:szCs w:val="23"/>
        </w:rPr>
        <w:t xml:space="preserve">With 92% of students stressed about money and only 11% feeling stable, it's a safe bet that overdraft fees and missed payments are a big reason people get frustrated and leave early. I can't confirm that without the bank's actual account data, but it's a strong assumption worth checking (see Section 8).</w:t>
      </w:r>
    </w:p>
    <w:p>
      <w:pPr>
        <w:pStyle w:val="Heading1"/>
        <w:pBdr>
          <w:bottom w:val="single" w:color="6B1E2B" w:sz="6" w:space="4"/>
        </w:pBdr>
        <w:spacing w:after="140" w:before="320"/>
      </w:pPr>
      <w:r>
        <w:rPr>
          <w:rFonts w:ascii="Times New Roman" w:cs="Times New Roman" w:eastAsia="Times New Roman" w:hAnsi="Times New Roman"/>
          <w:b/>
          <w:bCs/>
          <w:color w:val="6B1E2B"/>
          <w:sz w:val="30"/>
          <w:szCs w:val="30"/>
        </w:rPr>
        <w:t xml:space="preserve">3. Goals &amp; Success Metrics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4300"/>
        <w:gridCol w:w="3600"/>
        <w:gridCol w:w="2500"/>
      </w:tblGrid>
      <w:tr>
        <w:trPr>
          <w:tblHeader/>
        </w:trPr>
        <w:tc>
          <w:tcPr>
            <w:tcW w:type="dxa" w:w="4300"/>
            <w:shd w:fill="6B1E2B"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Goal</w:t>
            </w:r>
          </w:p>
        </w:tc>
        <w:tc>
          <w:tcPr>
            <w:tcW w:type="dxa" w:w="3600"/>
            <w:shd w:fill="6B1E2B"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Metric</w:t>
            </w:r>
          </w:p>
        </w:tc>
        <w:tc>
          <w:tcPr>
            <w:tcW w:type="dxa" w:w="2500"/>
            <w:shd w:fill="6B1E2B"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Target (12 months post-launch)</w:t>
            </w:r>
          </w:p>
        </w:tc>
      </w:tr>
      <w:tr>
        <w:tc>
          <w:tcPr>
            <w:tcW w:type="dxa" w:w="43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Smooth the youth-account → adult account transition</w:t>
            </w:r>
          </w:p>
        </w:tc>
        <w:tc>
          <w:tcPr>
            <w:tcW w:type="dxa" w:w="3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 of youth-app users (17–18) who activate an independent chequing account within 6 months of aging out</w:t>
            </w:r>
          </w:p>
        </w:tc>
        <w:tc>
          <w:tcPr>
            <w:tcW w:type="dxa" w:w="2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 55%</w:t>
            </w:r>
          </w:p>
        </w:tc>
      </w:tr>
      <w:tr>
        <w:tc>
          <w:tcPr>
            <w:tcW w:type="dxa" w:w="4300"/>
            <w:shd w:fill="F6EFE4"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Reduce early financial stress</w:t>
            </w:r>
          </w:p>
        </w:tc>
        <w:tc>
          <w:tcPr>
            <w:tcW w:type="dxa" w:w="3600"/>
            <w:shd w:fill="F6EFE4"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Overdraft incidents per active first-year user in first 90 days</w:t>
            </w:r>
          </w:p>
        </w:tc>
        <w:tc>
          <w:tcPr>
            <w:tcW w:type="dxa" w:w="2500"/>
            <w:shd w:fill="F6EFE4"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 25% vs. cohort baseline</w:t>
            </w:r>
          </w:p>
        </w:tc>
      </w:tr>
      <w:tr>
        <w:tc>
          <w:tcPr>
            <w:tcW w:type="dxa" w:w="43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Build a lasting budgeting habit</w:t>
            </w:r>
          </w:p>
        </w:tc>
        <w:tc>
          <w:tcPr>
            <w:tcW w:type="dxa" w:w="3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 of NextStep users with a budget still active at day 90</w:t>
            </w:r>
          </w:p>
        </w:tc>
        <w:tc>
          <w:tcPr>
            <w:tcW w:type="dxa" w:w="2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 40%</w:t>
            </w:r>
          </w:p>
        </w:tc>
      </w:tr>
      <w:tr>
        <w:tc>
          <w:tcPr>
            <w:tcW w:type="dxa" w:w="4300"/>
            <w:shd w:fill="F6EFE4"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Prove retention value</w:t>
            </w:r>
          </w:p>
        </w:tc>
        <w:tc>
          <w:tcPr>
            <w:tcW w:type="dxa" w:w="3600"/>
            <w:shd w:fill="F6EFE4"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12-month account retention rate, NextStep users vs. non-users</w:t>
            </w:r>
          </w:p>
        </w:tc>
        <w:tc>
          <w:tcPr>
            <w:tcW w:type="dxa" w:w="2500"/>
            <w:shd w:fill="F6EFE4"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+10 pts higher</w:t>
            </w:r>
          </w:p>
        </w:tc>
      </w:tr>
      <w:tr>
        <w:tc>
          <w:tcPr>
            <w:tcW w:type="dxa" w:w="43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Validate satisfaction</w:t>
            </w:r>
          </w:p>
        </w:tc>
        <w:tc>
          <w:tcPr>
            <w:tcW w:type="dxa" w:w="3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In-app NPS from first-year NextStep users</w:t>
            </w:r>
          </w:p>
        </w:tc>
        <w:tc>
          <w:tcPr>
            <w:tcW w:type="dxa" w:w="2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 45</w:t>
            </w:r>
          </w:p>
        </w:tc>
      </w:tr>
    </w:tbl>
    <w:p>
      <w:pPr>
        <w:pStyle w:val="Heading1"/>
        <w:pBdr>
          <w:bottom w:val="single" w:color="6B1E2B" w:sz="6" w:space="4"/>
        </w:pBdr>
        <w:spacing w:after="140" w:before="320"/>
      </w:pPr>
      <w:r>
        <w:rPr>
          <w:rFonts w:ascii="Times New Roman" w:cs="Times New Roman" w:eastAsia="Times New Roman" w:hAnsi="Times New Roman"/>
          <w:b/>
          <w:bCs/>
          <w:color w:val="6B1E2B"/>
          <w:sz w:val="30"/>
          <w:szCs w:val="30"/>
        </w:rPr>
        <w:t xml:space="preserve">4. Target Users &amp; Personas</w:t>
      </w:r>
    </w:p>
    <w:p>
      <w:pPr>
        <w:pStyle w:val="Heading2"/>
        <w:spacing w:after="100" w:before="220"/>
      </w:pPr>
      <w:r>
        <w:rPr>
          <w:rFonts w:ascii="Times New Roman" w:cs="Times New Roman" w:eastAsia="Times New Roman" w:hAnsi="Times New Roman"/>
          <w:b/>
          <w:bCs/>
          <w:i/>
          <w:iCs/>
          <w:color w:val="8A6A2E"/>
          <w:sz w:val="25"/>
          <w:szCs w:val="25"/>
        </w:rPr>
        <w:t xml:space="preserve">Persona 1: “First-Time Freshman”</w:t>
      </w:r>
    </w:p>
    <w:p>
      <w:pPr>
        <w:spacing w:after="60"/>
      </w:pPr>
      <w:r>
        <w:rPr>
          <w:rFonts w:ascii="Times New Roman" w:cs="Times New Roman" w:eastAsia="Times New Roman" w:hAnsi="Times New Roman"/>
          <w:b/>
          <w:bCs/>
          <w:sz w:val="23"/>
          <w:szCs w:val="23"/>
        </w:rPr>
        <w:t xml:space="preserve">Who: </w:t>
      </w:r>
      <w:r>
        <w:rPr>
          <w:rFonts w:ascii="Times New Roman" w:cs="Times New Roman" w:eastAsia="Times New Roman" w:hAnsi="Times New Roman"/>
          <w:sz w:val="23"/>
          <w:szCs w:val="23"/>
        </w:rPr>
        <w:t xml:space="preserve">18-year-old, first year away from home at university (e.g., Waterloo, Toronto, Western)</w:t>
      </w:r>
    </w:p>
    <w:p>
      <w:pPr>
        <w:spacing w:after="60"/>
      </w:pPr>
      <w:r>
        <w:rPr>
          <w:rFonts w:ascii="Times New Roman" w:cs="Times New Roman" w:eastAsia="Times New Roman" w:hAnsi="Times New Roman"/>
          <w:b/>
          <w:bCs/>
          <w:sz w:val="23"/>
          <w:szCs w:val="23"/>
        </w:rPr>
        <w:t xml:space="preserve">Financial history: </w:t>
      </w:r>
      <w:r>
        <w:rPr>
          <w:rFonts w:ascii="Times New Roman" w:cs="Times New Roman" w:eastAsia="Times New Roman" w:hAnsi="Times New Roman"/>
          <w:sz w:val="23"/>
          <w:szCs w:val="23"/>
        </w:rPr>
        <w:t xml:space="preserve">Used a youth banking app growing up, or had a parent-supervised account. Never paid rent, a phone bill, or a tuition instalment on their own before</w:t>
      </w:r>
    </w:p>
    <w:p>
      <w:pPr>
        <w:spacing w:after="60"/>
      </w:pPr>
      <w:r>
        <w:rPr>
          <w:rFonts w:ascii="Times New Roman" w:cs="Times New Roman" w:eastAsia="Times New Roman" w:hAnsi="Times New Roman"/>
          <w:b/>
          <w:bCs/>
          <w:sz w:val="23"/>
          <w:szCs w:val="23"/>
        </w:rPr>
        <w:t xml:space="preserve">Goals: </w:t>
      </w:r>
      <w:r>
        <w:rPr>
          <w:rFonts w:ascii="Times New Roman" w:cs="Times New Roman" w:eastAsia="Times New Roman" w:hAnsi="Times New Roman"/>
          <w:sz w:val="23"/>
          <w:szCs w:val="23"/>
        </w:rPr>
        <w:t xml:space="preserve">Avoid embarrassing declines, get a feel for what a “normal” month of spending actually looks like, and stop having to ask parents for help with everything</w:t>
      </w:r>
    </w:p>
    <w:p>
      <w:pPr>
        <w:spacing w:after="60"/>
      </w:pPr>
      <w:r>
        <w:rPr>
          <w:rFonts w:ascii="Times New Roman" w:cs="Times New Roman" w:eastAsia="Times New Roman" w:hAnsi="Times New Roman"/>
          <w:b/>
          <w:bCs/>
          <w:sz w:val="23"/>
          <w:szCs w:val="23"/>
        </w:rPr>
        <w:t xml:space="preserve">Frustrations: </w:t>
      </w:r>
      <w:r>
        <w:rPr>
          <w:rFonts w:ascii="Times New Roman" w:cs="Times New Roman" w:eastAsia="Times New Roman" w:hAnsi="Times New Roman"/>
          <w:sz w:val="23"/>
          <w:szCs w:val="23"/>
        </w:rPr>
        <w:t xml:space="preserve">No idea how to budget for stuff like textbooks or meal plan top-ups. Anxious about overdraft fees. Too proud to keep asking parents for money</w:t>
      </w:r>
    </w:p>
    <w:p>
      <w:pPr>
        <w:pStyle w:val="Heading2"/>
        <w:spacing w:after="100" w:before="220"/>
      </w:pPr>
      <w:r>
        <w:rPr>
          <w:rFonts w:ascii="Times New Roman" w:cs="Times New Roman" w:eastAsia="Times New Roman" w:hAnsi="Times New Roman"/>
          <w:b/>
          <w:bCs/>
          <w:i/>
          <w:iCs/>
          <w:color w:val="8A6A2E"/>
          <w:sz w:val="25"/>
          <w:szCs w:val="25"/>
        </w:rPr>
        <w:t xml:space="preserve">Persona 2: “The Long-Distance Parent”</w:t>
      </w:r>
    </w:p>
    <w:p>
      <w:pPr>
        <w:spacing w:after="60"/>
      </w:pPr>
      <w:r>
        <w:rPr>
          <w:rFonts w:ascii="Times New Roman" w:cs="Times New Roman" w:eastAsia="Times New Roman" w:hAnsi="Times New Roman"/>
          <w:b/>
          <w:bCs/>
          <w:sz w:val="23"/>
          <w:szCs w:val="23"/>
        </w:rPr>
        <w:t xml:space="preserve">Who: </w:t>
      </w:r>
      <w:r>
        <w:rPr>
          <w:rFonts w:ascii="Times New Roman" w:cs="Times New Roman" w:eastAsia="Times New Roman" w:hAnsi="Times New Roman"/>
          <w:sz w:val="23"/>
          <w:szCs w:val="23"/>
        </w:rPr>
        <w:t xml:space="preserve">Parent of a first-year student, used to being a co-user on their kid's youth banking app</w:t>
      </w:r>
    </w:p>
    <w:p>
      <w:pPr>
        <w:spacing w:after="60"/>
      </w:pPr>
      <w:r>
        <w:rPr>
          <w:rFonts w:ascii="Times New Roman" w:cs="Times New Roman" w:eastAsia="Times New Roman" w:hAnsi="Times New Roman"/>
          <w:b/>
          <w:bCs/>
          <w:sz w:val="23"/>
          <w:szCs w:val="23"/>
        </w:rPr>
        <w:t xml:space="preserve">Goals: </w:t>
      </w:r>
      <w:r>
        <w:rPr>
          <w:rFonts w:ascii="Times New Roman" w:cs="Times New Roman" w:eastAsia="Times New Roman" w:hAnsi="Times New Roman"/>
          <w:sz w:val="23"/>
          <w:szCs w:val="23"/>
        </w:rPr>
        <w:t xml:space="preserve">Just wants peace of mind their kid won't overdraw or miss a payment, and some visibility without being overbearing about it</w:t>
      </w:r>
    </w:p>
    <w:p>
      <w:pPr>
        <w:spacing w:after="60"/>
      </w:pPr>
      <w:r>
        <w:rPr>
          <w:rFonts w:ascii="Times New Roman" w:cs="Times New Roman" w:eastAsia="Times New Roman" w:hAnsi="Times New Roman"/>
          <w:b/>
          <w:bCs/>
          <w:sz w:val="23"/>
          <w:szCs w:val="23"/>
        </w:rPr>
        <w:t xml:space="preserve">Frustrations: </w:t>
      </w:r>
      <w:r>
        <w:rPr>
          <w:rFonts w:ascii="Times New Roman" w:cs="Times New Roman" w:eastAsia="Times New Roman" w:hAnsi="Times New Roman"/>
          <w:sz w:val="23"/>
          <w:szCs w:val="23"/>
        </w:rPr>
        <w:t xml:space="preserve">Loses all visibility the day their kid turns 18 and opens an adult account. Only finds out about problems after the fact</w:t>
      </w:r>
    </w:p>
    <w:p>
      <w:pPr>
        <w:spacing w:after="120" w:line="300"/>
      </w:pPr>
      <w:r>
        <w:rPr>
          <w:rFonts w:ascii="Times New Roman" w:cs="Times New Roman" w:eastAsia="Times New Roman" w:hAnsi="Times New Roman"/>
          <w:b w:val="false"/>
          <w:bCs w:val="false"/>
          <w:i/>
          <w:iCs/>
          <w:sz w:val="23"/>
          <w:szCs w:val="23"/>
        </w:rPr>
        <w:t xml:space="preserve">Quick note: these personas come from research and my own experience going into first year, not from formal interviews yet. Section 9 has the actual testing results.</w:t>
      </w:r>
    </w:p>
    <w:p>
      <w:pPr>
        <w:pStyle w:val="Heading2"/>
        <w:spacing w:after="100" w:before="220"/>
      </w:pPr>
      <w:r>
        <w:rPr>
          <w:rFonts w:ascii="Times New Roman" w:cs="Times New Roman" w:eastAsia="Times New Roman" w:hAnsi="Times New Roman"/>
          <w:b/>
          <w:bCs/>
          <w:i/>
          <w:iCs/>
          <w:color w:val="8A6A2E"/>
          <w:sz w:val="25"/>
          <w:szCs w:val="25"/>
        </w:rPr>
        <w:t xml:space="preserve">What I heard early on</w:t>
      </w:r>
    </w:p>
    <w:p>
      <w:pPr>
        <w:spacing w:after="120" w:line="300"/>
      </w:pPr>
      <w:r>
        <w:rPr>
          <w:rFonts w:ascii="Times New Roman" w:cs="Times New Roman" w:eastAsia="Times New Roman" w:hAnsi="Times New Roman"/>
          <w:b w:val="false"/>
          <w:bCs w:val="false"/>
          <w:i w:val="false"/>
          <w:iCs w:val="false"/>
          <w:sz w:val="23"/>
          <w:szCs w:val="23"/>
        </w:rPr>
        <w:t xml:space="preserve">Before doing any formal interviews, I just asked three people I know who are about to start first year how they handle money right now. None of them track spending in an app. One writes it down after the fact, and one just uses an AI assistant to track it for them, which tells me people already want automated tracking, their bank just isn't giving it to them. All three said the thing that surprises them most isn't big one-time costs like textbooks, it's small recurring stuff like food delivery and groceries. And all three said they'd actually use a starter budget if it was already built for them, instead of making one from scratch.</w:t>
      </w:r>
    </w:p>
    <w:p>
      <w:pPr>
        <w:spacing w:after="120" w:line="300"/>
      </w:pPr>
      <w:r>
        <w:rPr>
          <w:rFonts w:ascii="Times New Roman" w:cs="Times New Roman" w:eastAsia="Times New Roman" w:hAnsi="Times New Roman"/>
          <w:b w:val="false"/>
          <w:bCs w:val="false"/>
          <w:i/>
          <w:iCs/>
          <w:sz w:val="23"/>
          <w:szCs w:val="23"/>
        </w:rPr>
        <w:t xml:space="preserve">I want to be upfront that this is just an early signal, not real proof of anything. It was three casual conversations with people I know, not actual research. But it lines up with the Must-Have features in Section 5 (the starter budget and the weekly summary), and it's exactly the kind of thing the testing in Section 9 is meant to check at a bigger scale.</w:t>
      </w:r>
    </w:p>
    <w:p>
      <w:pPr>
        <w:pStyle w:val="Heading1"/>
        <w:pBdr>
          <w:bottom w:val="single" w:color="6B1E2B" w:sz="6" w:space="4"/>
        </w:pBdr>
        <w:spacing w:after="140" w:before="320"/>
      </w:pPr>
      <w:r>
        <w:rPr>
          <w:rFonts w:ascii="Times New Roman" w:cs="Times New Roman" w:eastAsia="Times New Roman" w:hAnsi="Times New Roman"/>
          <w:b/>
          <w:bCs/>
          <w:color w:val="6B1E2B"/>
          <w:sz w:val="30"/>
          <w:szCs w:val="30"/>
        </w:rPr>
        <w:t xml:space="preserve">5. User Stories</w:t>
      </w:r>
    </w:p>
    <w:p>
      <w:pPr>
        <w:pStyle w:val="Heading2"/>
        <w:spacing w:after="100" w:before="220"/>
      </w:pPr>
      <w:r>
        <w:rPr>
          <w:rFonts w:ascii="Times New Roman" w:cs="Times New Roman" w:eastAsia="Times New Roman" w:hAnsi="Times New Roman"/>
          <w:b/>
          <w:bCs/>
          <w:i/>
          <w:iCs/>
          <w:color w:val="8A6A2E"/>
          <w:sz w:val="25"/>
          <w:szCs w:val="25"/>
        </w:rPr>
        <w:t xml:space="preserve">Must Have</w:t>
      </w:r>
    </w:p>
    <w:p>
      <w:pPr>
        <w:pStyle w:val="ListParagraph"/>
        <w:numPr>
          <w:ilvl w:val="0"/>
          <w:numId w:val="2"/>
        </w:numPr>
        <w:spacing w:after="60"/>
      </w:pPr>
      <w:r>
        <w:rPr>
          <w:rFonts w:ascii="Times New Roman" w:cs="Times New Roman" w:eastAsia="Times New Roman" w:hAnsi="Times New Roman"/>
          <w:sz w:val="23"/>
          <w:szCs w:val="23"/>
        </w:rPr>
        <w:t xml:space="preserve">As a first-year student, I want a simple starter budget built from my known income (OSAP, job, parental support) and fixed costs (rent, meal plan) so I don't have to build one from scratch.</w:t>
      </w:r>
    </w:p>
    <w:p>
      <w:pPr>
        <w:pStyle w:val="ListParagraph"/>
        <w:numPr>
          <w:ilvl w:val="0"/>
          <w:numId w:val="2"/>
        </w:numPr>
        <w:spacing w:after="60"/>
      </w:pPr>
      <w:r>
        <w:rPr>
          <w:rFonts w:ascii="Times New Roman" w:cs="Times New Roman" w:eastAsia="Times New Roman" w:hAnsi="Times New Roman"/>
          <w:sz w:val="23"/>
          <w:szCs w:val="23"/>
        </w:rPr>
        <w:t xml:space="preserve">As a first-year student, I want a low-balance alert before I actually overdraw, so I can move money or delay a purchase.</w:t>
      </w:r>
    </w:p>
    <w:p>
      <w:pPr>
        <w:pStyle w:val="ListParagraph"/>
        <w:numPr>
          <w:ilvl w:val="0"/>
          <w:numId w:val="2"/>
        </w:numPr>
        <w:spacing w:after="60"/>
      </w:pPr>
      <w:r>
        <w:rPr>
          <w:rFonts w:ascii="Times New Roman" w:cs="Times New Roman" w:eastAsia="Times New Roman" w:hAnsi="Times New Roman"/>
          <w:sz w:val="23"/>
          <w:szCs w:val="23"/>
        </w:rPr>
        <w:t xml:space="preserve">As a first-year student, I want to see a plain-language breakdown of where my money went each week, grouped in terms I understand (food, textbooks, going out).</w:t>
      </w:r>
    </w:p>
    <w:p>
      <w:pPr>
        <w:pStyle w:val="Heading2"/>
        <w:spacing w:after="100" w:before="220"/>
      </w:pPr>
      <w:r>
        <w:rPr>
          <w:rFonts w:ascii="Times New Roman" w:cs="Times New Roman" w:eastAsia="Times New Roman" w:hAnsi="Times New Roman"/>
          <w:b/>
          <w:bCs/>
          <w:i/>
          <w:iCs/>
          <w:color w:val="8A6A2E"/>
          <w:sz w:val="25"/>
          <w:szCs w:val="25"/>
        </w:rPr>
        <w:t xml:space="preserve">Should Have</w:t>
      </w:r>
    </w:p>
    <w:p>
      <w:pPr>
        <w:pStyle w:val="ListParagraph"/>
        <w:numPr>
          <w:ilvl w:val="0"/>
          <w:numId w:val="2"/>
        </w:numPr>
        <w:spacing w:after="60"/>
      </w:pPr>
      <w:r>
        <w:rPr>
          <w:rFonts w:ascii="Times New Roman" w:cs="Times New Roman" w:eastAsia="Times New Roman" w:hAnsi="Times New Roman"/>
          <w:sz w:val="23"/>
          <w:szCs w:val="23"/>
        </w:rPr>
        <w:t xml:space="preserve">As a first-year student, I want to set a savings goal (e.g., spring break trip, laptop) and see weekly progress.</w:t>
      </w:r>
    </w:p>
    <w:p>
      <w:pPr>
        <w:pStyle w:val="ListParagraph"/>
        <w:numPr>
          <w:ilvl w:val="0"/>
          <w:numId w:val="2"/>
        </w:numPr>
        <w:spacing w:after="60"/>
      </w:pPr>
      <w:r>
        <w:rPr>
          <w:rFonts w:ascii="Times New Roman" w:cs="Times New Roman" w:eastAsia="Times New Roman" w:hAnsi="Times New Roman"/>
          <w:sz w:val="23"/>
          <w:szCs w:val="23"/>
        </w:rPr>
        <w:t xml:space="preserve">As a former youth-app user, I want my saving habits and goals to carry over automatically instead of starting over in a new app.</w:t>
      </w:r>
    </w:p>
    <w:p>
      <w:pPr>
        <w:pStyle w:val="ListParagraph"/>
        <w:numPr>
          <w:ilvl w:val="0"/>
          <w:numId w:val="2"/>
        </w:numPr>
        <w:spacing w:after="60"/>
      </w:pPr>
      <w:r>
        <w:rPr>
          <w:rFonts w:ascii="Times New Roman" w:cs="Times New Roman" w:eastAsia="Times New Roman" w:hAnsi="Times New Roman"/>
          <w:sz w:val="23"/>
          <w:szCs w:val="23"/>
        </w:rPr>
        <w:t xml:space="preserve">As a first-year student, I want to mark part of my balance as a protected buffer (like an emergency fund) so low-balance alerts reflect what I can actually afford to spend, not my raw balance. (I added this after testing my prototype, see Section 9.)</w:t>
      </w:r>
    </w:p>
    <w:p>
      <w:pPr>
        <w:pStyle w:val="Heading2"/>
        <w:spacing w:after="100" w:before="220"/>
      </w:pPr>
      <w:r>
        <w:rPr>
          <w:rFonts w:ascii="Times New Roman" w:cs="Times New Roman" w:eastAsia="Times New Roman" w:hAnsi="Times New Roman"/>
          <w:b/>
          <w:bCs/>
          <w:i/>
          <w:iCs/>
          <w:color w:val="8A6A2E"/>
          <w:sz w:val="25"/>
          <w:szCs w:val="25"/>
        </w:rPr>
        <w:t xml:space="preserve">Could Have</w:t>
      </w:r>
    </w:p>
    <w:p>
      <w:pPr>
        <w:pStyle w:val="ListParagraph"/>
        <w:numPr>
          <w:ilvl w:val="0"/>
          <w:numId w:val="2"/>
        </w:numPr>
        <w:spacing w:after="60"/>
      </w:pPr>
      <w:r>
        <w:rPr>
          <w:rFonts w:ascii="Times New Roman" w:cs="Times New Roman" w:eastAsia="Times New Roman" w:hAnsi="Times New Roman"/>
          <w:sz w:val="23"/>
          <w:szCs w:val="23"/>
        </w:rPr>
        <w:t xml:space="preserve">As a student, I want the option to share a read-only spending summary with a parent, on my terms, so they stay reassured without seeing every transaction.</w:t>
      </w:r>
    </w:p>
    <w:p>
      <w:pPr>
        <w:pStyle w:val="ListParagraph"/>
        <w:numPr>
          <w:ilvl w:val="0"/>
          <w:numId w:val="2"/>
        </w:numPr>
        <w:spacing w:after="60"/>
      </w:pPr>
      <w:r>
        <w:rPr>
          <w:rFonts w:ascii="Times New Roman" w:cs="Times New Roman" w:eastAsia="Times New Roman" w:hAnsi="Times New Roman"/>
          <w:sz w:val="23"/>
          <w:szCs w:val="23"/>
        </w:rPr>
        <w:t xml:space="preserve">As a student, I want short, campus-relevant tips (e.g., cheapest meal plan add-ons, textbook buyback timing) inside the app.</w:t>
      </w:r>
    </w:p>
    <w:p>
      <w:pPr>
        <w:pStyle w:val="Heading2"/>
        <w:spacing w:after="100" w:before="220"/>
      </w:pPr>
      <w:r>
        <w:rPr>
          <w:rFonts w:ascii="Times New Roman" w:cs="Times New Roman" w:eastAsia="Times New Roman" w:hAnsi="Times New Roman"/>
          <w:b/>
          <w:bCs/>
          <w:i/>
          <w:iCs/>
          <w:color w:val="8A6A2E"/>
          <w:sz w:val="25"/>
          <w:szCs w:val="25"/>
        </w:rPr>
        <w:t xml:space="preserve">Won't Have (v1)</w:t>
      </w:r>
    </w:p>
    <w:p>
      <w:pPr>
        <w:pStyle w:val="ListParagraph"/>
        <w:numPr>
          <w:ilvl w:val="0"/>
          <w:numId w:val="2"/>
        </w:numPr>
        <w:spacing w:after="60"/>
      </w:pPr>
      <w:r>
        <w:rPr>
          <w:rFonts w:ascii="Times New Roman" w:cs="Times New Roman" w:eastAsia="Times New Roman" w:hAnsi="Times New Roman"/>
          <w:sz w:val="23"/>
          <w:szCs w:val="23"/>
        </w:rPr>
        <w:t xml:space="preserve">Investing or credit-building products. That's a later-phase idea, not something I think belongs in the first release.</w:t>
      </w:r>
    </w:p>
    <w:p>
      <w:pPr>
        <w:pStyle w:val="Heading1"/>
        <w:pBdr>
          <w:bottom w:val="single" w:color="6B1E2B" w:sz="6" w:space="4"/>
        </w:pBdr>
        <w:spacing w:after="140" w:before="320"/>
      </w:pPr>
      <w:r>
        <w:rPr>
          <w:rFonts w:ascii="Times New Roman" w:cs="Times New Roman" w:eastAsia="Times New Roman" w:hAnsi="Times New Roman"/>
          <w:b/>
          <w:bCs/>
          <w:color w:val="6B1E2B"/>
          <w:sz w:val="30"/>
          <w:szCs w:val="30"/>
        </w:rPr>
        <w:t xml:space="preserve">6. Feature Requirements (MVP)</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5200"/>
        <w:gridCol w:w="1600"/>
      </w:tblGrid>
      <w:tr>
        <w:trPr>
          <w:tblHeader/>
        </w:trPr>
        <w:tc>
          <w:tcPr>
            <w:tcW w:type="dxa" w:w="3000"/>
            <w:shd w:fill="6B1E2B"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Feature</w:t>
            </w:r>
          </w:p>
        </w:tc>
        <w:tc>
          <w:tcPr>
            <w:tcW w:type="dxa" w:w="5200"/>
            <w:shd w:fill="6B1E2B"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Description</w:t>
            </w:r>
          </w:p>
        </w:tc>
        <w:tc>
          <w:tcPr>
            <w:tcW w:type="dxa" w:w="1600"/>
            <w:shd w:fill="6B1E2B"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Priority</w:t>
            </w:r>
          </w:p>
        </w:tc>
      </w:tr>
      <w:tr>
        <w:tc>
          <w:tcPr>
            <w:tcW w:type="dxa" w:w="3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Guided starter budget</w:t>
            </w:r>
          </w:p>
        </w:tc>
        <w:tc>
          <w:tcPr>
            <w:tcW w:type="dxa" w:w="5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3-question setup (income sources, fixed costs, campus city) auto-generates a first budget</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Must</w:t>
            </w:r>
          </w:p>
        </w:tc>
      </w:tr>
      <w:tr>
        <w:tc>
          <w:tcPr>
            <w:tcW w:type="dxa" w:w="3000"/>
            <w:shd w:fill="F6EFE4"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Low-balance alerts</w:t>
            </w:r>
          </w:p>
        </w:tc>
        <w:tc>
          <w:tcPr>
            <w:tcW w:type="dxa" w:w="5200"/>
            <w:shd w:fill="F6EFE4"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Push notification when balance is projected to go negative within 3 days</w:t>
            </w:r>
          </w:p>
        </w:tc>
        <w:tc>
          <w:tcPr>
            <w:tcW w:type="dxa" w:w="1600"/>
            <w:shd w:fill="F6EFE4"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Must</w:t>
            </w:r>
          </w:p>
        </w:tc>
      </w:tr>
      <w:tr>
        <w:tc>
          <w:tcPr>
            <w:tcW w:type="dxa" w:w="3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Plain-language spend summary</w:t>
            </w:r>
          </w:p>
        </w:tc>
        <w:tc>
          <w:tcPr>
            <w:tcW w:type="dxa" w:w="5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Weekly digest grouped into student-relevant categories, not generic bank categories</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Must</w:t>
            </w:r>
          </w:p>
        </w:tc>
      </w:tr>
      <w:tr>
        <w:tc>
          <w:tcPr>
            <w:tcW w:type="dxa" w:w="3000"/>
            <w:shd w:fill="F6EFE4"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Savings goal tracker</w:t>
            </w:r>
          </w:p>
        </w:tc>
        <w:tc>
          <w:tcPr>
            <w:tcW w:type="dxa" w:w="5200"/>
            <w:shd w:fill="F6EFE4"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Named goal with a target date and simple progress bar</w:t>
            </w:r>
          </w:p>
        </w:tc>
        <w:tc>
          <w:tcPr>
            <w:tcW w:type="dxa" w:w="1600"/>
            <w:shd w:fill="F6EFE4"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Should</w:t>
            </w:r>
          </w:p>
        </w:tc>
      </w:tr>
      <w:tr>
        <w:tc>
          <w:tcPr>
            <w:tcW w:type="dxa" w:w="3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Youth-app history carryover</w:t>
            </w:r>
          </w:p>
        </w:tc>
        <w:tc>
          <w:tcPr>
            <w:tcW w:type="dxa" w:w="5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Prior savings goals/habits from the bank's youth product pre-populate the new account</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Should</w:t>
            </w:r>
          </w:p>
        </w:tc>
      </w:tr>
      <w:tr>
        <w:tc>
          <w:tcPr>
            <w:tcW w:type="dxa" w:w="3000"/>
            <w:shd w:fill="F6EFE4"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Protected buffer for alerts</w:t>
            </w:r>
          </w:p>
        </w:tc>
        <w:tc>
          <w:tcPr>
            <w:tcW w:type="dxa" w:w="5200"/>
            <w:shd w:fill="F6EFE4"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Lets a student mark an emergency-fund amount as off-limits so low-balance alerts calculate against spendable balance, not raw balance</w:t>
            </w:r>
          </w:p>
        </w:tc>
        <w:tc>
          <w:tcPr>
            <w:tcW w:type="dxa" w:w="1600"/>
            <w:shd w:fill="F6EFE4"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Should</w:t>
            </w:r>
          </w:p>
        </w:tc>
      </w:tr>
      <w:tr>
        <w:tc>
          <w:tcPr>
            <w:tcW w:type="dxa" w:w="3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Optional parent digest</w:t>
            </w:r>
          </w:p>
        </w:tc>
        <w:tc>
          <w:tcPr>
            <w:tcW w:type="dxa" w:w="5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Student-controlled, opt-in, read-only monthly summary sent to a linked parent</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Could</w:t>
            </w:r>
          </w:p>
        </w:tc>
      </w:tr>
      <w:tr>
        <w:tc>
          <w:tcPr>
            <w:tcW w:type="dxa" w:w="3000"/>
            <w:shd w:fill="F6EFE4"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Campus cost tips</w:t>
            </w:r>
          </w:p>
        </w:tc>
        <w:tc>
          <w:tcPr>
            <w:tcW w:type="dxa" w:w="5200"/>
            <w:shd w:fill="F6EFE4"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Short, localized tips tied to the student's school and city</w:t>
            </w:r>
          </w:p>
        </w:tc>
        <w:tc>
          <w:tcPr>
            <w:tcW w:type="dxa" w:w="1600"/>
            <w:shd w:fill="F6EFE4"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Could</w:t>
            </w:r>
          </w:p>
        </w:tc>
      </w:tr>
    </w:tbl>
    <w:p>
      <w:pPr>
        <w:pStyle w:val="Heading1"/>
        <w:pBdr>
          <w:bottom w:val="single" w:color="6B1E2B" w:sz="6" w:space="4"/>
        </w:pBdr>
        <w:spacing w:after="140" w:before="320"/>
      </w:pPr>
      <w:r>
        <w:rPr>
          <w:rFonts w:ascii="Times New Roman" w:cs="Times New Roman" w:eastAsia="Times New Roman" w:hAnsi="Times New Roman"/>
          <w:b/>
          <w:bCs/>
          <w:color w:val="6B1E2B"/>
          <w:sz w:val="30"/>
          <w:szCs w:val="30"/>
        </w:rPr>
        <w:t xml:space="preserve">7. Product Roadmap</w:t>
      </w:r>
    </w:p>
    <w:p>
      <w:pPr>
        <w:spacing w:after="120" w:line="300"/>
      </w:pPr>
      <w:r>
        <w:rPr>
          <w:rFonts w:ascii="Times New Roman" w:cs="Times New Roman" w:eastAsia="Times New Roman" w:hAnsi="Times New Roman"/>
          <w:b w:val="false"/>
          <w:bCs w:val="false"/>
          <w:i w:val="false"/>
          <w:iCs w:val="false"/>
          <w:sz w:val="23"/>
          <w:szCs w:val="23"/>
        </w:rPr>
        <w:t xml:space="preserve">I lined this up with the school year. Basically, build it through winter and spring so it's ready before the fall move-in rush, since that's when most new students open their first account on their own.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2000"/>
        <w:gridCol w:w="3600"/>
      </w:tblGrid>
      <w:tr>
        <w:trPr>
          <w:tblHeader/>
        </w:trPr>
        <w:tc>
          <w:tcPr>
            <w:tcW w:type="dxa" w:w="1900"/>
            <w:shd w:fill="6B1E2B"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Phase</w:t>
            </w:r>
          </w:p>
        </w:tc>
        <w:tc>
          <w:tcPr>
            <w:tcW w:type="dxa" w:w="1300"/>
            <w:shd w:fill="6B1E2B"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Timeline</w:t>
            </w:r>
          </w:p>
        </w:tc>
        <w:tc>
          <w:tcPr>
            <w:tcW w:type="dxa" w:w="2000"/>
            <w:shd w:fill="6B1E2B"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Focus</w:t>
            </w:r>
          </w:p>
        </w:tc>
        <w:tc>
          <w:tcPr>
            <w:tcW w:type="dxa" w:w="3600"/>
            <w:shd w:fill="6B1E2B"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Key Deliverables</w:t>
            </w:r>
          </w:p>
        </w:tc>
      </w:tr>
      <w:tr>
        <w:tc>
          <w:tcPr>
            <w:tcW w:type="dxa" w:w="19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Phase 0: Discovery</w:t>
            </w:r>
          </w:p>
        </w:tc>
        <w:tc>
          <w:tcPr>
            <w:tcW w:type="dxa" w:w="13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Jan – Feb</w:t>
            </w:r>
          </w:p>
        </w:tc>
        <w:tc>
          <w:tcPr>
            <w:tcW w:type="dxa" w:w="2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Validate the problem</w:t>
            </w:r>
          </w:p>
        </w:tc>
        <w:tc>
          <w:tcPr>
            <w:tcW w:type="dxa" w:w="3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Interviews with 15–20 recent youth-app-graduate students; overdraft &amp; churn data review; competitive scan</w:t>
            </w:r>
          </w:p>
        </w:tc>
      </w:tr>
      <w:tr>
        <w:tc>
          <w:tcPr>
            <w:tcW w:type="dxa" w:w="1900"/>
            <w:shd w:fill="F6EFE4"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Phase 1: MVP Build</w:t>
            </w:r>
          </w:p>
        </w:tc>
        <w:tc>
          <w:tcPr>
            <w:tcW w:type="dxa" w:w="1300"/>
            <w:shd w:fill="F6EFE4"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Mar – May</w:t>
            </w:r>
          </w:p>
        </w:tc>
        <w:tc>
          <w:tcPr>
            <w:tcW w:type="dxa" w:w="2000"/>
            <w:shd w:fill="F6EFE4"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Build the must-have features</w:t>
            </w:r>
          </w:p>
        </w:tc>
        <w:tc>
          <w:tcPr>
            <w:tcW w:type="dxa" w:w="3600"/>
            <w:shd w:fill="F6EFE4"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Guided budget, low-balance alerts, weekly spend summary; internal alpha</w:t>
            </w:r>
          </w:p>
        </w:tc>
      </w:tr>
      <w:tr>
        <w:tc>
          <w:tcPr>
            <w:tcW w:type="dxa" w:w="19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Phase 2: Campus Pilot</w:t>
            </w:r>
          </w:p>
        </w:tc>
        <w:tc>
          <w:tcPr>
            <w:tcW w:type="dxa" w:w="13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Jun – Aug</w:t>
            </w:r>
          </w:p>
        </w:tc>
        <w:tc>
          <w:tcPr>
            <w:tcW w:type="dxa" w:w="2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Test with a real cohort before move-in</w:t>
            </w:r>
          </w:p>
        </w:tc>
        <w:tc>
          <w:tcPr>
            <w:tcW w:type="dxa" w:w="3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Closed pilot with incoming students at 2–3 partner campuses (e.g., Waterloo, Toronto Metropolitan, Western); iterate on feedback</w:t>
            </w:r>
          </w:p>
        </w:tc>
      </w:tr>
      <w:tr>
        <w:tc>
          <w:tcPr>
            <w:tcW w:type="dxa" w:w="1900"/>
            <w:shd w:fill="F6EFE4"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Phase 3: Fall Launch</w:t>
            </w:r>
          </w:p>
        </w:tc>
        <w:tc>
          <w:tcPr>
            <w:tcW w:type="dxa" w:w="1300"/>
            <w:shd w:fill="F6EFE4"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Sept</w:t>
            </w:r>
          </w:p>
        </w:tc>
        <w:tc>
          <w:tcPr>
            <w:tcW w:type="dxa" w:w="2000"/>
            <w:shd w:fill="F6EFE4"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Launch for move-in week</w:t>
            </w:r>
          </w:p>
        </w:tc>
        <w:tc>
          <w:tcPr>
            <w:tcW w:type="dxa" w:w="3600"/>
            <w:shd w:fill="F6EFE4"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Full rollout to all new youth-app graduates and first-year account openers nationally</w:t>
            </w:r>
          </w:p>
        </w:tc>
      </w:tr>
      <w:tr>
        <w:tc>
          <w:tcPr>
            <w:tcW w:type="dxa" w:w="19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Phase 4: Iterate &amp; Expand</w:t>
            </w:r>
          </w:p>
        </w:tc>
        <w:tc>
          <w:tcPr>
            <w:tcW w:type="dxa" w:w="13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Oct – Dec</w:t>
            </w:r>
          </w:p>
        </w:tc>
        <w:tc>
          <w:tcPr>
            <w:tcW w:type="dxa" w:w="2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Add Should/Could features</w:t>
            </w:r>
          </w:p>
        </w:tc>
        <w:tc>
          <w:tcPr>
            <w:tcW w:type="dxa" w:w="3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Savings goals, history carryover, optional parent digest; measure against 12-month KPIs</w:t>
            </w:r>
          </w:p>
        </w:tc>
      </w:tr>
    </w:tbl>
    <w:p>
      <w:pPr>
        <w:pStyle w:val="Heading1"/>
        <w:pBdr>
          <w:bottom w:val="single" w:color="6B1E2B" w:sz="6" w:space="4"/>
        </w:pBdr>
        <w:spacing w:after="140" w:before="320"/>
      </w:pPr>
      <w:r>
        <w:rPr>
          <w:rFonts w:ascii="Times New Roman" w:cs="Times New Roman" w:eastAsia="Times New Roman" w:hAnsi="Times New Roman"/>
          <w:b/>
          <w:bCs/>
          <w:color w:val="6B1E2B"/>
          <w:sz w:val="30"/>
          <w:szCs w:val="30"/>
        </w:rPr>
        <w:t xml:space="preserve">8. Risks &amp; Assumptions</w:t>
      </w:r>
    </w:p>
    <w:p>
      <w:pPr>
        <w:pStyle w:val="ListParagraph"/>
        <w:numPr>
          <w:ilvl w:val="0"/>
          <w:numId w:val="2"/>
        </w:numPr>
        <w:spacing w:after="60"/>
      </w:pPr>
      <w:r>
        <w:rPr>
          <w:rFonts w:ascii="Times New Roman" w:cs="Times New Roman" w:eastAsia="Times New Roman" w:hAnsi="Times New Roman"/>
          <w:sz w:val="23"/>
          <w:szCs w:val="23"/>
        </w:rPr>
        <w:t xml:space="preserve">Assumption: I'm assuming most incoming students already have, or will open, an account with the bank. I can't actually check this since I don't have access to real account data as an outside project, so this needs to be validated.</w:t>
      </w:r>
    </w:p>
    <w:p>
      <w:pPr>
        <w:pStyle w:val="ListParagraph"/>
        <w:numPr>
          <w:ilvl w:val="0"/>
          <w:numId w:val="2"/>
        </w:numPr>
        <w:spacing w:after="60"/>
      </w:pPr>
      <w:r>
        <w:rPr>
          <w:rFonts w:ascii="Times New Roman" w:cs="Times New Roman" w:eastAsia="Times New Roman" w:hAnsi="Times New Roman"/>
          <w:sz w:val="23"/>
          <w:szCs w:val="23"/>
        </w:rPr>
        <w:t xml:space="preserve">Risk: if the budgeting prompts don't feel clearly optional and student-controlled, they might come off as intrusive, especially the parent-digest feature.</w:t>
      </w:r>
    </w:p>
    <w:p>
      <w:pPr>
        <w:pStyle w:val="ListParagraph"/>
        <w:numPr>
          <w:ilvl w:val="0"/>
          <w:numId w:val="2"/>
        </w:numPr>
        <w:spacing w:after="60"/>
      </w:pPr>
      <w:r>
        <w:rPr>
          <w:rFonts w:ascii="Times New Roman" w:cs="Times New Roman" w:eastAsia="Times New Roman" w:hAnsi="Times New Roman"/>
          <w:sz w:val="23"/>
          <w:szCs w:val="23"/>
        </w:rPr>
        <w:t xml:space="preserve">Risk: the campus pilot only works if partner schools' orientation or residence teams actually help recruit students for it.</w:t>
      </w:r>
    </w:p>
    <w:p>
      <w:pPr>
        <w:pStyle w:val="ListParagraph"/>
        <w:numPr>
          <w:ilvl w:val="0"/>
          <w:numId w:val="2"/>
        </w:numPr>
        <w:spacing w:after="60"/>
      </w:pPr>
      <w:r>
        <w:rPr>
          <w:rFonts w:ascii="Times New Roman" w:cs="Times New Roman" w:eastAsia="Times New Roman" w:hAnsi="Times New Roman"/>
          <w:sz w:val="23"/>
          <w:szCs w:val="23"/>
        </w:rPr>
        <w:t xml:space="preserve">Dependency: the low-balance alerts and spend categories only work if a new feature team can actually access the bank's existing transaction systems.</w:t>
      </w:r>
    </w:p>
    <w:p>
      <w:pPr>
        <w:pStyle w:val="Heading1"/>
        <w:pBdr>
          <w:bottom w:val="single" w:color="6B1E2B" w:sz="6" w:space="4"/>
        </w:pBdr>
        <w:spacing w:after="140" w:before="320"/>
      </w:pPr>
      <w:r>
        <w:rPr>
          <w:rFonts w:ascii="Times New Roman" w:cs="Times New Roman" w:eastAsia="Times New Roman" w:hAnsi="Times New Roman"/>
          <w:b/>
          <w:bCs/>
          <w:color w:val="6B1E2B"/>
          <w:sz w:val="30"/>
          <w:szCs w:val="30"/>
        </w:rPr>
        <w:t xml:space="preserve">9. Prototype Testing: Round 1 Results</w:t>
      </w:r>
    </w:p>
    <w:p>
      <w:pPr>
        <w:spacing w:after="120" w:line="300"/>
      </w:pPr>
      <w:r>
        <w:rPr>
          <w:rFonts w:ascii="Times New Roman" w:cs="Times New Roman" w:eastAsia="Times New Roman" w:hAnsi="Times New Roman"/>
          <w:b w:val="false"/>
          <w:bCs w:val="false"/>
          <w:i w:val="false"/>
          <w:iCs w:val="false"/>
          <w:sz w:val="23"/>
          <w:szCs w:val="23"/>
        </w:rPr>
        <w:t xml:space="preserve">I actually built a clickable prototype, the starter budget, low-balance alert, weekly summary, and savings goal, and tested it with real incoming first-year students. Round 1 got 7 submissions from 6 different people (one person did it twice and gave the same answers both times).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3000"/>
      </w:tblGrid>
      <w:tr>
        <w:trPr>
          <w:tblHeader/>
        </w:trPr>
        <w:tc>
          <w:tcPr>
            <w:tcW w:type="dxa" w:w="3600"/>
            <w:shd w:fill="6B1E2B"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Tester</w:t>
            </w:r>
          </w:p>
        </w:tc>
        <w:tc>
          <w:tcPr>
            <w:tcW w:type="dxa" w:w="3000"/>
            <w:shd w:fill="6B1E2B"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Likelihood to use (1–5)</w:t>
            </w:r>
          </w:p>
        </w:tc>
        <w:tc>
          <w:tcPr>
            <w:tcW w:type="dxa" w:w="3000"/>
            <w:shd w:fill="6B1E2B"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Most useful feature</w:t>
            </w:r>
          </w:p>
        </w:tc>
      </w:tr>
      <w:tr>
        <w:tc>
          <w:tcPr>
            <w:tcW w:type="dxa" w:w="3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Kofi Kayden</w:t>
            </w:r>
          </w:p>
        </w:tc>
        <w:tc>
          <w:tcPr>
            <w:tcW w:type="dxa" w:w="3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4</w:t>
            </w:r>
          </w:p>
        </w:tc>
        <w:tc>
          <w:tcPr>
            <w:tcW w:type="dxa" w:w="3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Starter budget</w:t>
            </w:r>
          </w:p>
        </w:tc>
      </w:tr>
      <w:tr>
        <w:tc>
          <w:tcPr>
            <w:tcW w:type="dxa" w:w="3600"/>
            <w:shd w:fill="F6EFE4"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Ayaan Vali</w:t>
            </w:r>
          </w:p>
        </w:tc>
        <w:tc>
          <w:tcPr>
            <w:tcW w:type="dxa" w:w="3000"/>
            <w:shd w:fill="F6EFE4"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4</w:t>
            </w:r>
          </w:p>
        </w:tc>
        <w:tc>
          <w:tcPr>
            <w:tcW w:type="dxa" w:w="3000"/>
            <w:shd w:fill="F6EFE4"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Weekly summary</w:t>
            </w:r>
          </w:p>
        </w:tc>
      </w:tr>
      <w:tr>
        <w:tc>
          <w:tcPr>
            <w:tcW w:type="dxa" w:w="3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Grace Green</w:t>
            </w:r>
          </w:p>
        </w:tc>
        <w:tc>
          <w:tcPr>
            <w:tcW w:type="dxa" w:w="3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4</w:t>
            </w:r>
          </w:p>
        </w:tc>
        <w:tc>
          <w:tcPr>
            <w:tcW w:type="dxa" w:w="3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Starter budget</w:t>
            </w:r>
          </w:p>
        </w:tc>
      </w:tr>
      <w:tr>
        <w:tc>
          <w:tcPr>
            <w:tcW w:type="dxa" w:w="3600"/>
            <w:shd w:fill="F6EFE4"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M.M.</w:t>
            </w:r>
          </w:p>
        </w:tc>
        <w:tc>
          <w:tcPr>
            <w:tcW w:type="dxa" w:w="3000"/>
            <w:shd w:fill="F6EFE4"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4</w:t>
            </w:r>
          </w:p>
        </w:tc>
        <w:tc>
          <w:tcPr>
            <w:tcW w:type="dxa" w:w="3000"/>
            <w:shd w:fill="F6EFE4"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Weekly summary</w:t>
            </w:r>
          </w:p>
        </w:tc>
      </w:tr>
      <w:tr>
        <w:tc>
          <w:tcPr>
            <w:tcW w:type="dxa" w:w="3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Tim</w:t>
            </w:r>
          </w:p>
        </w:tc>
        <w:tc>
          <w:tcPr>
            <w:tcW w:type="dxa" w:w="3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4</w:t>
            </w:r>
          </w:p>
        </w:tc>
        <w:tc>
          <w:tcPr>
            <w:tcW w:type="dxa" w:w="3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Savings goal</w:t>
            </w:r>
          </w:p>
        </w:tc>
      </w:tr>
      <w:tr>
        <w:tc>
          <w:tcPr>
            <w:tcW w:type="dxa" w:w="3600"/>
            <w:shd w:fill="F6EFE4"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Jordan Kessler</w:t>
            </w:r>
          </w:p>
        </w:tc>
        <w:tc>
          <w:tcPr>
            <w:tcW w:type="dxa" w:w="3000"/>
            <w:shd w:fill="F6EFE4"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3</w:t>
            </w:r>
          </w:p>
        </w:tc>
        <w:tc>
          <w:tcPr>
            <w:tcW w:type="dxa" w:w="3000"/>
            <w:shd w:fill="F6EFE4"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Low-balance alert</w:t>
            </w:r>
          </w:p>
        </w:tc>
      </w:tr>
    </w:tbl>
    <w:p>
      <w:pPr>
        <w:spacing w:after="120" w:line="300"/>
      </w:pPr>
      <w:r>
        <w:rPr>
          <w:rFonts w:ascii="Times New Roman" w:cs="Times New Roman" w:eastAsia="Times New Roman" w:hAnsi="Times New Roman"/>
          <w:b w:val="false"/>
          <w:bCs w:val="false"/>
          <w:i w:val="false"/>
          <w:iCs w:val="false"/>
          <w:sz w:val="23"/>
          <w:szCs w:val="23"/>
        </w:rPr>
        <w:t xml:space="preserve">The average score for how likely people were to use it was 3.9 out of 5. The weekly spend summary got picked as the favourite feature the most (3 out of 7), then the starter budget (2 out of 7), and the savings goal and low-balance alert each got picked once. That backs up why I made those first two Must-Haves in Section 5.</w:t>
      </w:r>
    </w:p>
    <w:p>
      <w:pPr>
        <w:pStyle w:val="Heading2"/>
        <w:spacing w:after="100" w:before="220"/>
      </w:pPr>
      <w:r>
        <w:rPr>
          <w:rFonts w:ascii="Times New Roman" w:cs="Times New Roman" w:eastAsia="Times New Roman" w:hAnsi="Times New Roman"/>
          <w:b/>
          <w:bCs/>
          <w:i/>
          <w:iCs/>
          <w:color w:val="8A6A2E"/>
          <w:sz w:val="25"/>
          <w:szCs w:val="25"/>
        </w:rPr>
        <w:t xml:space="preserve">Where this round falls short</w:t>
      </w:r>
    </w:p>
    <w:p>
      <w:pPr>
        <w:pStyle w:val="ListParagraph"/>
        <w:numPr>
          <w:ilvl w:val="0"/>
          <w:numId w:val="2"/>
        </w:numPr>
        <w:spacing w:after="60"/>
      </w:pPr>
      <w:r>
        <w:rPr>
          <w:rFonts w:ascii="Times New Roman" w:cs="Times New Roman" w:eastAsia="Times New Roman" w:hAnsi="Times New Roman"/>
          <w:sz w:val="23"/>
          <w:szCs w:val="23"/>
        </w:rPr>
        <w:t xml:space="preserve">Small sample, and not random. Everyone who tested it was someone I know, not a real cross-section of incoming students.</w:t>
      </w:r>
    </w:p>
    <w:p>
      <w:pPr>
        <w:pStyle w:val="ListParagraph"/>
        <w:numPr>
          <w:ilvl w:val="0"/>
          <w:numId w:val="2"/>
        </w:numPr>
        <w:spacing w:after="60"/>
      </w:pPr>
      <w:r>
        <w:rPr>
          <w:rFonts w:ascii="Times New Roman" w:cs="Times New Roman" w:eastAsia="Times New Roman" w:hAnsi="Times New Roman"/>
          <w:sz w:val="23"/>
          <w:szCs w:val="23"/>
        </w:rPr>
        <w:t xml:space="preserve">I didn't ask any open-ended questions in this round, just the quick rating and multiple choice. So this tells me people are interested, but not really why.</w:t>
      </w:r>
    </w:p>
    <w:p>
      <w:pPr>
        <w:pStyle w:val="ListParagraph"/>
        <w:numPr>
          <w:ilvl w:val="0"/>
          <w:numId w:val="2"/>
        </w:numPr>
        <w:spacing w:after="60"/>
      </w:pPr>
      <w:r>
        <w:rPr>
          <w:rFonts w:ascii="Times New Roman" w:cs="Times New Roman" w:eastAsia="Times New Roman" w:hAnsi="Times New Roman"/>
          <w:sz w:val="23"/>
          <w:szCs w:val="23"/>
        </w:rPr>
        <w:t xml:space="preserve">One person (M.M.) submitted it twice, so I'm only counting one of their responses to avoid double-counting.</w:t>
      </w:r>
    </w:p>
    <w:p>
      <w:pPr>
        <w:pStyle w:val="ListParagraph"/>
        <w:numPr>
          <w:ilvl w:val="0"/>
          <w:numId w:val="2"/>
        </w:numPr>
        <w:spacing w:after="60"/>
      </w:pPr>
      <w:r>
        <w:rPr>
          <w:rFonts w:ascii="Times New Roman" w:cs="Times New Roman" w:eastAsia="Times New Roman" w:hAnsi="Times New Roman"/>
          <w:sz w:val="23"/>
          <w:szCs w:val="23"/>
        </w:rPr>
        <w:t xml:space="preserve">The lowest score came from Jordan Kessler (3/5), who was most interested in the low-balance alert, so I followed up with them directly. Honestly, figuring out why a skeptical person wasn't fully sold felt more useful than just hearing from people who already liked it.</w:t>
      </w:r>
    </w:p>
    <w:p>
      <w:pPr>
        <w:pStyle w:val="Heading2"/>
        <w:spacing w:after="100" w:before="220"/>
      </w:pPr>
      <w:r>
        <w:rPr>
          <w:rFonts w:ascii="Times New Roman" w:cs="Times New Roman" w:eastAsia="Times New Roman" w:hAnsi="Times New Roman"/>
          <w:b/>
          <w:bCs/>
          <w:i/>
          <w:iCs/>
          <w:color w:val="8A6A2E"/>
          <w:sz w:val="25"/>
          <w:szCs w:val="25"/>
        </w:rPr>
        <w:t xml:space="preserve">Something worth changing</w:t>
      </w:r>
    </w:p>
    <w:p>
      <w:pPr>
        <w:spacing w:after="120" w:line="300"/>
      </w:pPr>
      <w:r>
        <w:rPr>
          <w:rFonts w:ascii="Times New Roman" w:cs="Times New Roman" w:eastAsia="Times New Roman" w:hAnsi="Times New Roman"/>
          <w:b w:val="false"/>
          <w:bCs w:val="false"/>
          <w:i w:val="false"/>
          <w:iCs w:val="false"/>
          <w:sz w:val="23"/>
          <w:szCs w:val="23"/>
        </w:rPr>
        <w:t xml:space="preserve">When I followed up with them, they told me something pretty specific. The alert, the way I designed it, treats your whole balance as money you can spend. But in real life, people mentally set some of that aside for stuff like emergencies, and that money shouldn't count as “available to spend.” So an alert that ignores that is going to feel annoying or just wrong, even if the math checks out. That's probably why they rated it lower.</w:t>
      </w:r>
    </w:p>
    <w:p>
      <w:pPr>
        <w:spacing w:after="120" w:line="300"/>
      </w:pPr>
      <w:r>
        <w:rPr>
          <w:rFonts w:ascii="Times New Roman" w:cs="Times New Roman" w:eastAsia="Times New Roman" w:hAnsi="Times New Roman"/>
          <w:b w:val="false"/>
          <w:bCs w:val="false"/>
          <w:i/>
          <w:iCs/>
          <w:sz w:val="23"/>
          <w:szCs w:val="23"/>
        </w:rPr>
        <w:t xml:space="preserve">That's a fair criticism, not just a personal preference. It points to a real fix for the MVP: let a student set aside part of their balance as a protected buffer, like an emergency fund, and have the low-balance alert ignore that amount when it calculates what's “available to spend.” That way the alert actually reflects real risk instead of just a raw balance. I added this to Section 6 as a new Should-Have feature.</w:t>
      </w:r>
    </w:p>
    <w:p>
      <w:pPr>
        <w:pStyle w:val="Heading2"/>
        <w:spacing w:after="100" w:before="220"/>
      </w:pPr>
      <w:r>
        <w:rPr>
          <w:rFonts w:ascii="Times New Roman" w:cs="Times New Roman" w:eastAsia="Times New Roman" w:hAnsi="Times New Roman"/>
          <w:b/>
          <w:bCs/>
          <w:i/>
          <w:iCs/>
          <w:color w:val="8A6A2E"/>
          <w:sz w:val="25"/>
          <w:szCs w:val="25"/>
        </w:rPr>
        <w:t xml:space="preserve">Next step</w:t>
      </w:r>
    </w:p>
    <w:p>
      <w:pPr>
        <w:spacing w:after="120" w:line="300"/>
      </w:pPr>
      <w:r>
        <w:rPr>
          <w:rFonts w:ascii="Times New Roman" w:cs="Times New Roman" w:eastAsia="Times New Roman" w:hAnsi="Times New Roman"/>
          <w:b w:val="false"/>
          <w:bCs w:val="false"/>
          <w:i/>
          <w:iCs/>
          <w:sz w:val="23"/>
          <w:szCs w:val="23"/>
        </w:rPr>
        <w:t xml:space="preserve">For round 2, I want to do 8 to 10 real conversations, 10 to 15 minutes each, with a wider group of people, not just people I already know. I'll actually write down quotes this time and ask the lower scorers more questions. The goal is to go from “people rated it okay” to actually understanding why, since that's what Sections 4 and 5 should really be built on.</w:t>
      </w:r>
    </w:p>
    <w:p>
      <w:pPr>
        <w:pStyle w:val="Heading1"/>
        <w:pBdr>
          <w:bottom w:val="single" w:color="6B1E2B" w:sz="6" w:space="4"/>
        </w:pBdr>
        <w:spacing w:after="140" w:before="320"/>
      </w:pPr>
      <w:r>
        <w:rPr>
          <w:rFonts w:ascii="Times New Roman" w:cs="Times New Roman" w:eastAsia="Times New Roman" w:hAnsi="Times New Roman"/>
          <w:b/>
          <w:bCs/>
          <w:color w:val="6B1E2B"/>
          <w:sz w:val="30"/>
          <w:szCs w:val="30"/>
        </w:rPr>
        <w:t xml:space="preserve">10. Appendix: Competitive Landscape (Brief)</w:t>
      </w:r>
    </w:p>
    <w:p>
      <w:pPr>
        <w:spacing w:after="60"/>
      </w:pPr>
      <w:r>
        <w:rPr>
          <w:rFonts w:ascii="Times New Roman" w:cs="Times New Roman" w:eastAsia="Times New Roman" w:hAnsi="Times New Roman"/>
          <w:b/>
          <w:bCs/>
          <w:sz w:val="23"/>
          <w:szCs w:val="23"/>
        </w:rPr>
        <w:t xml:space="preserve">Bank-owned youth apps: </w:t>
      </w:r>
      <w:r>
        <w:rPr>
          <w:rFonts w:ascii="Times New Roman" w:cs="Times New Roman" w:eastAsia="Times New Roman" w:hAnsi="Times New Roman"/>
          <w:sz w:val="23"/>
          <w:szCs w:val="23"/>
        </w:rPr>
        <w:t xml:space="preserve">Strong products for ages 6–17, but they're built around a parent supervising. Not made for someone managing money on their own at 18+</w:t>
      </w:r>
    </w:p>
    <w:p>
      <w:pPr>
        <w:spacing w:after="60"/>
      </w:pPr>
      <w:r>
        <w:rPr>
          <w:rFonts w:ascii="Times New Roman" w:cs="Times New Roman" w:eastAsia="Times New Roman" w:hAnsi="Times New Roman"/>
          <w:b/>
          <w:bCs/>
          <w:sz w:val="23"/>
          <w:szCs w:val="23"/>
        </w:rPr>
        <w:t xml:space="preserve">Other student account offerings: </w:t>
      </w:r>
      <w:r>
        <w:rPr>
          <w:rFonts w:ascii="Times New Roman" w:cs="Times New Roman" w:eastAsia="Times New Roman" w:hAnsi="Times New Roman"/>
          <w:sz w:val="23"/>
          <w:szCs w:val="23"/>
        </w:rPr>
        <w:t xml:space="preserve">Mostly just fee waivers and basic chequing accounts. Almost none of them actually help with budgeting for the first-year transition specifically</w:t>
      </w:r>
    </w:p>
    <w:p>
      <w:pPr>
        <w:spacing w:after="60"/>
      </w:pPr>
      <w:r>
        <w:rPr>
          <w:rFonts w:ascii="Times New Roman" w:cs="Times New Roman" w:eastAsia="Times New Roman" w:hAnsi="Times New Roman"/>
          <w:b/>
          <w:bCs/>
          <w:sz w:val="23"/>
          <w:szCs w:val="23"/>
        </w:rPr>
        <w:t xml:space="preserve">Gamified financial-literacy apps: </w:t>
      </w:r>
      <w:r>
        <w:rPr>
          <w:rFonts w:ascii="Times New Roman" w:cs="Times New Roman" w:eastAsia="Times New Roman" w:hAnsi="Times New Roman"/>
          <w:sz w:val="23"/>
          <w:szCs w:val="23"/>
        </w:rPr>
        <w:t xml:space="preserve">This category is growing fast, projected to grow roughly 5x by 2034, but it's focused on general financial education, not connected to a student's actual bank account or their specific campus situation</w:t>
      </w:r>
    </w:p>
    <w:p>
      <w:pPr>
        <w:spacing w:after="120" w:line="300"/>
      </w:pPr>
      <w:r>
        <w:rPr>
          <w:rFonts w:ascii="Times New Roman" w:cs="Times New Roman" w:eastAsia="Times New Roman" w:hAnsi="Times New Roman"/>
          <w:b w:val="false"/>
          <w:bCs w:val="false"/>
          <w:i/>
          <w:iCs/>
          <w:sz w:val="23"/>
          <w:szCs w:val="23"/>
        </w:rPr>
        <w:t xml:space="preserve">The opportunity here is that no major Canadian bank has actually built something for that specific first-90-days-away-from-home moment yet.</w:t>
      </w:r>
    </w:p>
    <w:p>
      <w:pPr>
        <w:spacing w:after="160"/>
      </w:pPr>
      <w:r>
        <w:rPr>
          <w:rFonts w:ascii="Times New Roman" w:cs="Times New Roman" w:eastAsia="Times New Roman" w:hAnsi="Times New Roman"/>
          <w:i/>
          <w:iCs/>
          <w:color w:val="6E6E6E"/>
          <w:sz w:val="17"/>
          <w:szCs w:val="17"/>
        </w:rPr>
        <w:t xml:space="preserve">Sources: The Harris Poll Canada / national bank survey of post-secondary students (Aug. 2025); Statistics Canada, Tuition and Living Accommodation Costs Survey (Sept. 2025); Embark student survey via Leger (2024); Canadian Bankers Association, How Canadians Bank (2026); Intel Market Research, Financial Literacy Gamification App for Gen Z Market Outlook (2026).</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6"/>
        <w:szCs w:val="16"/>
      </w:rPr>
      <w:t xml:space="preserve">Prepared by Affan Ameer  |  Page </w:t>
    </w:r>
    <w:r>
      <w:rPr>
        <w:rFonts w:ascii="Times New Roman" w:cs="Times New Roman" w:eastAsia="Times New Roman" w:hAnsi="Times New Roman"/>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08080"/>
        <w:sz w:val="16"/>
        <w:szCs w:val="16"/>
      </w:rPr>
      <w:t xml:space="preserve">NextStep: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e9f6d99c181bb88628604c38f7fe263c581f17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2026-07-29T00:22:48.234Z</dcterms:created>
  <dcterms:modified xsi:type="dcterms:W3CDTF">2026-07-29T00:22:48.248Z</dcterms:modified>
</cp:coreProperties>
</file>

<file path=docProps/custom.xml><?xml version="1.0" encoding="utf-8"?>
<Properties xmlns="http://schemas.openxmlformats.org/officeDocument/2006/custom-properties" xmlns:vt="http://schemas.openxmlformats.org/officeDocument/2006/docPropsVTypes"/>
</file>